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3519" w:type="dxa"/>
        <w:tblInd w:w="-289" w:type="dxa"/>
        <w:tblLook w:val="04A0" w:firstRow="1" w:lastRow="0" w:firstColumn="1" w:lastColumn="0" w:noHBand="0" w:noVBand="1"/>
      </w:tblPr>
      <w:tblGrid>
        <w:gridCol w:w="4253"/>
        <w:gridCol w:w="4855"/>
        <w:gridCol w:w="4411"/>
      </w:tblGrid>
      <w:tr w:rsidR="00295B6B" w:rsidRPr="0059463B" w14:paraId="73088DF3" w14:textId="77777777" w:rsidTr="00DC54C1">
        <w:trPr>
          <w:trHeight w:val="567"/>
        </w:trPr>
        <w:tc>
          <w:tcPr>
            <w:tcW w:w="13519" w:type="dxa"/>
            <w:gridSpan w:val="3"/>
            <w:vAlign w:val="center"/>
          </w:tcPr>
          <w:p w14:paraId="0CB76774" w14:textId="43F952EC" w:rsidR="00295B6B" w:rsidRPr="0059463B" w:rsidRDefault="00295B6B" w:rsidP="006D4BD7">
            <w:pPr>
              <w:jc w:val="both"/>
              <w:rPr>
                <w:rFonts w:ascii="Times New Roman" w:hAnsi="Times New Roman" w:cs="Times New Roman"/>
                <w:b/>
                <w:bCs/>
                <w:sz w:val="22"/>
                <w:szCs w:val="22"/>
                <w:lang w:val="tr-TR"/>
              </w:rPr>
            </w:pPr>
            <w:r w:rsidRPr="0059463B">
              <w:rPr>
                <w:rFonts w:ascii="Times New Roman" w:hAnsi="Times New Roman" w:cs="Times New Roman"/>
                <w:b/>
                <w:bCs/>
                <w:sz w:val="22"/>
                <w:szCs w:val="22"/>
                <w:lang w:val="tr-TR"/>
              </w:rPr>
              <w:t>Hassas Görevler Tablosu</w:t>
            </w:r>
          </w:p>
        </w:tc>
      </w:tr>
      <w:tr w:rsidR="00295B6B" w:rsidRPr="0059463B" w14:paraId="7963B644" w14:textId="77777777" w:rsidTr="00DC54C1">
        <w:trPr>
          <w:trHeight w:val="567"/>
        </w:trPr>
        <w:tc>
          <w:tcPr>
            <w:tcW w:w="13519" w:type="dxa"/>
            <w:gridSpan w:val="3"/>
            <w:vAlign w:val="center"/>
          </w:tcPr>
          <w:p w14:paraId="7F4446F9" w14:textId="7103F7DD" w:rsidR="00295B6B" w:rsidRPr="0059463B" w:rsidRDefault="00295B6B" w:rsidP="006D4BD7">
            <w:pPr>
              <w:jc w:val="both"/>
              <w:rPr>
                <w:rFonts w:ascii="Times New Roman" w:hAnsi="Times New Roman" w:cs="Times New Roman"/>
                <w:b/>
                <w:bCs/>
                <w:sz w:val="22"/>
                <w:szCs w:val="22"/>
                <w:lang w:val="tr-TR"/>
              </w:rPr>
            </w:pPr>
            <w:proofErr w:type="gramStart"/>
            <w:r w:rsidRPr="0059463B">
              <w:rPr>
                <w:rFonts w:ascii="Times New Roman" w:hAnsi="Times New Roman" w:cs="Times New Roman"/>
                <w:b/>
                <w:bCs/>
                <w:sz w:val="22"/>
                <w:szCs w:val="22"/>
                <w:lang w:val="tr-TR"/>
              </w:rPr>
              <w:t>Birim</w:t>
            </w:r>
            <w:r w:rsidR="003A09FD" w:rsidRPr="0059463B">
              <w:rPr>
                <w:rFonts w:ascii="Times New Roman" w:hAnsi="Times New Roman" w:cs="Times New Roman"/>
                <w:b/>
                <w:bCs/>
                <w:sz w:val="22"/>
                <w:szCs w:val="22"/>
                <w:lang w:val="tr-TR"/>
              </w:rPr>
              <w:t xml:space="preserve"> :</w:t>
            </w:r>
            <w:r w:rsidRPr="0059463B">
              <w:rPr>
                <w:rFonts w:ascii="Times New Roman" w:hAnsi="Times New Roman" w:cs="Times New Roman"/>
                <w:b/>
                <w:bCs/>
                <w:sz w:val="22"/>
                <w:szCs w:val="22"/>
                <w:lang w:val="tr-TR"/>
              </w:rPr>
              <w:t xml:space="preserve"> Sosyal</w:t>
            </w:r>
            <w:proofErr w:type="gramEnd"/>
            <w:r w:rsidRPr="0059463B">
              <w:rPr>
                <w:rFonts w:ascii="Times New Roman" w:hAnsi="Times New Roman" w:cs="Times New Roman"/>
                <w:b/>
                <w:bCs/>
                <w:sz w:val="22"/>
                <w:szCs w:val="22"/>
                <w:lang w:val="tr-TR"/>
              </w:rPr>
              <w:t xml:space="preserve"> Tesisler Müdürlüğü</w:t>
            </w:r>
          </w:p>
        </w:tc>
      </w:tr>
      <w:tr w:rsidR="006D4BD7" w:rsidRPr="0059463B" w14:paraId="694D81F0" w14:textId="77777777" w:rsidTr="006D4BD7">
        <w:trPr>
          <w:trHeight w:val="567"/>
        </w:trPr>
        <w:tc>
          <w:tcPr>
            <w:tcW w:w="4253" w:type="dxa"/>
            <w:shd w:val="clear" w:color="auto" w:fill="DAE9F7" w:themeFill="text2" w:themeFillTint="1A"/>
            <w:vAlign w:val="center"/>
          </w:tcPr>
          <w:p w14:paraId="015439A1" w14:textId="309EA2C9" w:rsidR="006D4BD7" w:rsidRPr="0059463B" w:rsidRDefault="006D4BD7" w:rsidP="006D4BD7">
            <w:pPr>
              <w:jc w:val="both"/>
              <w:rPr>
                <w:rFonts w:ascii="Times New Roman" w:hAnsi="Times New Roman" w:cs="Times New Roman"/>
                <w:b/>
                <w:bCs/>
                <w:sz w:val="22"/>
                <w:szCs w:val="22"/>
                <w:lang w:val="tr-TR"/>
              </w:rPr>
            </w:pPr>
            <w:r w:rsidRPr="0059463B">
              <w:rPr>
                <w:rFonts w:ascii="Times New Roman" w:hAnsi="Times New Roman" w:cs="Times New Roman"/>
                <w:b/>
                <w:bCs/>
                <w:sz w:val="22"/>
                <w:szCs w:val="22"/>
                <w:lang w:val="tr-TR"/>
              </w:rPr>
              <w:t>Hassas Görevler</w:t>
            </w:r>
          </w:p>
        </w:tc>
        <w:tc>
          <w:tcPr>
            <w:tcW w:w="4855" w:type="dxa"/>
            <w:shd w:val="clear" w:color="auto" w:fill="DAE9F7" w:themeFill="text2" w:themeFillTint="1A"/>
            <w:vAlign w:val="center"/>
          </w:tcPr>
          <w:p w14:paraId="173390C2" w14:textId="7EE9FFD2" w:rsidR="006D4BD7" w:rsidRPr="0059463B" w:rsidRDefault="006D4BD7" w:rsidP="006D4BD7">
            <w:pPr>
              <w:jc w:val="both"/>
              <w:rPr>
                <w:rFonts w:ascii="Times New Roman" w:hAnsi="Times New Roman" w:cs="Times New Roman"/>
                <w:b/>
                <w:bCs/>
                <w:sz w:val="22"/>
                <w:szCs w:val="22"/>
                <w:lang w:val="tr-TR"/>
              </w:rPr>
            </w:pPr>
            <w:r w:rsidRPr="0059463B">
              <w:rPr>
                <w:rFonts w:ascii="Times New Roman" w:hAnsi="Times New Roman" w:cs="Times New Roman"/>
                <w:b/>
                <w:bCs/>
                <w:sz w:val="22"/>
                <w:szCs w:val="22"/>
                <w:lang w:val="tr-TR"/>
              </w:rPr>
              <w:t>Alınması Gereken Önlemler</w:t>
            </w:r>
          </w:p>
        </w:tc>
        <w:tc>
          <w:tcPr>
            <w:tcW w:w="4411" w:type="dxa"/>
            <w:shd w:val="clear" w:color="auto" w:fill="DAE9F7" w:themeFill="text2" w:themeFillTint="1A"/>
            <w:vAlign w:val="center"/>
          </w:tcPr>
          <w:p w14:paraId="30452FF4" w14:textId="3A8114A0" w:rsidR="006D4BD7" w:rsidRPr="0059463B" w:rsidRDefault="006D4BD7" w:rsidP="006D4BD7">
            <w:pPr>
              <w:jc w:val="both"/>
              <w:rPr>
                <w:rFonts w:ascii="Times New Roman" w:hAnsi="Times New Roman" w:cs="Times New Roman"/>
                <w:b/>
                <w:bCs/>
                <w:sz w:val="22"/>
                <w:szCs w:val="22"/>
                <w:lang w:val="tr-TR"/>
              </w:rPr>
            </w:pPr>
            <w:r w:rsidRPr="0059463B">
              <w:rPr>
                <w:rFonts w:ascii="Times New Roman" w:hAnsi="Times New Roman" w:cs="Times New Roman"/>
                <w:b/>
                <w:bCs/>
                <w:sz w:val="22"/>
                <w:szCs w:val="22"/>
                <w:lang w:val="tr-TR"/>
              </w:rPr>
              <w:t>Görevin Yerine Getirilmemesi Sonuçları</w:t>
            </w:r>
          </w:p>
        </w:tc>
      </w:tr>
      <w:tr w:rsidR="00295B6B" w:rsidRPr="0059463B" w14:paraId="7C798083" w14:textId="77777777" w:rsidTr="006D4BD7">
        <w:trPr>
          <w:trHeight w:val="567"/>
        </w:trPr>
        <w:tc>
          <w:tcPr>
            <w:tcW w:w="4253" w:type="dxa"/>
            <w:vAlign w:val="center"/>
          </w:tcPr>
          <w:p w14:paraId="5D7EB1A9" w14:textId="1CD7E519" w:rsidR="00295B6B" w:rsidRPr="0059463B" w:rsidRDefault="003F7666" w:rsidP="006D4BD7">
            <w:pPr>
              <w:jc w:val="both"/>
              <w:rPr>
                <w:rFonts w:ascii="Times New Roman" w:hAnsi="Times New Roman" w:cs="Times New Roman"/>
                <w:lang w:val="tr-TR"/>
              </w:rPr>
            </w:pPr>
            <w:r w:rsidRPr="0059463B">
              <w:rPr>
                <w:rFonts w:ascii="Times New Roman" w:hAnsi="Times New Roman" w:cs="Times New Roman"/>
                <w:lang w:val="tr-TR"/>
              </w:rPr>
              <w:t xml:space="preserve">Lojman </w:t>
            </w:r>
            <w:r w:rsidR="005C5DDB" w:rsidRPr="0059463B">
              <w:rPr>
                <w:rFonts w:ascii="Times New Roman" w:hAnsi="Times New Roman" w:cs="Times New Roman"/>
                <w:lang w:val="tr-TR"/>
              </w:rPr>
              <w:t>t</w:t>
            </w:r>
            <w:r w:rsidRPr="0059463B">
              <w:rPr>
                <w:rFonts w:ascii="Times New Roman" w:hAnsi="Times New Roman" w:cs="Times New Roman"/>
                <w:lang w:val="tr-TR"/>
              </w:rPr>
              <w:t xml:space="preserve">ahsis ve </w:t>
            </w:r>
            <w:r w:rsidR="005C5DDB" w:rsidRPr="0059463B">
              <w:rPr>
                <w:rFonts w:ascii="Times New Roman" w:hAnsi="Times New Roman" w:cs="Times New Roman"/>
                <w:lang w:val="tr-TR"/>
              </w:rPr>
              <w:t>t</w:t>
            </w:r>
            <w:r w:rsidRPr="0059463B">
              <w:rPr>
                <w:rFonts w:ascii="Times New Roman" w:hAnsi="Times New Roman" w:cs="Times New Roman"/>
                <w:lang w:val="tr-TR"/>
              </w:rPr>
              <w:t xml:space="preserve">akip </w:t>
            </w:r>
            <w:r w:rsidR="005C5DDB" w:rsidRPr="0059463B">
              <w:rPr>
                <w:rFonts w:ascii="Times New Roman" w:hAnsi="Times New Roman" w:cs="Times New Roman"/>
                <w:lang w:val="tr-TR"/>
              </w:rPr>
              <w:t>s</w:t>
            </w:r>
            <w:r w:rsidRPr="0059463B">
              <w:rPr>
                <w:rFonts w:ascii="Times New Roman" w:hAnsi="Times New Roman" w:cs="Times New Roman"/>
                <w:lang w:val="tr-TR"/>
              </w:rPr>
              <w:t>üreçleri</w:t>
            </w:r>
          </w:p>
        </w:tc>
        <w:tc>
          <w:tcPr>
            <w:tcW w:w="4855" w:type="dxa"/>
          </w:tcPr>
          <w:p w14:paraId="60727DFA" w14:textId="240A5985" w:rsidR="00295B6B" w:rsidRPr="0059463B" w:rsidRDefault="003F7666" w:rsidP="006D4BD7">
            <w:pPr>
              <w:jc w:val="both"/>
              <w:rPr>
                <w:rFonts w:ascii="Times New Roman" w:hAnsi="Times New Roman" w:cs="Times New Roman"/>
                <w:lang w:val="tr-TR"/>
              </w:rPr>
            </w:pPr>
            <w:r w:rsidRPr="0059463B">
              <w:rPr>
                <w:rFonts w:ascii="Times New Roman" w:eastAsia="Calibri" w:hAnsi="Times New Roman" w:cs="Times New Roman"/>
                <w:lang w:val="tr-TR"/>
              </w:rPr>
              <w:t>ODTÜ lojmanları ile ilgili akademik ve idari personelin Konut Tahsis Talep Beyannameleri almak, her yıl yeni puanlama listesini hazırlamak, yıl içinde gelen güncelleme taleplerini düzenlemek ve Müdürlüğümüz web sayfasında belirtilen lojman başvuru süreçlerinin takibini yapmak.</w:t>
            </w:r>
          </w:p>
        </w:tc>
        <w:tc>
          <w:tcPr>
            <w:tcW w:w="4411" w:type="dxa"/>
          </w:tcPr>
          <w:p w14:paraId="1FD55B0D" w14:textId="26D4AA9E" w:rsidR="00295B6B" w:rsidRPr="0059463B" w:rsidRDefault="000C137F" w:rsidP="006D4BD7">
            <w:pPr>
              <w:pStyle w:val="ListeParagraf"/>
              <w:numPr>
                <w:ilvl w:val="0"/>
                <w:numId w:val="2"/>
              </w:numPr>
              <w:jc w:val="both"/>
              <w:rPr>
                <w:rFonts w:ascii="Times New Roman" w:hAnsi="Times New Roman" w:cs="Times New Roman"/>
                <w:lang w:val="tr-TR"/>
              </w:rPr>
            </w:pPr>
            <w:r w:rsidRPr="0059463B">
              <w:rPr>
                <w:rFonts w:ascii="Times New Roman" w:hAnsi="Times New Roman" w:cs="Times New Roman"/>
                <w:lang w:val="tr-TR"/>
              </w:rPr>
              <w:t>Puanlama ve sıralama hataları nedeniyle hak kaybı yaşanması</w:t>
            </w:r>
          </w:p>
          <w:p w14:paraId="73DD1BC7" w14:textId="77777777" w:rsidR="00D551BC" w:rsidRPr="0059463B" w:rsidRDefault="00D551BC" w:rsidP="006D4BD7">
            <w:pPr>
              <w:jc w:val="both"/>
              <w:rPr>
                <w:rFonts w:ascii="Times New Roman" w:hAnsi="Times New Roman" w:cs="Times New Roman"/>
                <w:lang w:val="tr-TR"/>
              </w:rPr>
            </w:pPr>
          </w:p>
          <w:p w14:paraId="2357DB01" w14:textId="0496B3B3" w:rsidR="000C137F" w:rsidRPr="0059463B" w:rsidRDefault="00742581" w:rsidP="006D4BD7">
            <w:pPr>
              <w:pStyle w:val="ListeParagraf"/>
              <w:numPr>
                <w:ilvl w:val="0"/>
                <w:numId w:val="2"/>
              </w:numPr>
              <w:jc w:val="both"/>
              <w:rPr>
                <w:rFonts w:ascii="Times New Roman" w:hAnsi="Times New Roman" w:cs="Times New Roman"/>
                <w:lang w:val="tr-TR"/>
              </w:rPr>
            </w:pPr>
            <w:r w:rsidRPr="0059463B">
              <w:rPr>
                <w:rFonts w:ascii="Times New Roman" w:hAnsi="Times New Roman" w:cs="Times New Roman"/>
                <w:lang w:val="tr-TR"/>
              </w:rPr>
              <w:t xml:space="preserve">Tahsis sürecinin yavaş ilerlemesi nedeniyle konutların boş kalması ve </w:t>
            </w:r>
            <w:r w:rsidR="0059463B" w:rsidRPr="0059463B">
              <w:rPr>
                <w:rFonts w:ascii="Times New Roman" w:hAnsi="Times New Roman" w:cs="Times New Roman"/>
                <w:lang w:val="tr-TR"/>
              </w:rPr>
              <w:t>kamu zararına uğratılması.</w:t>
            </w:r>
          </w:p>
        </w:tc>
      </w:tr>
      <w:tr w:rsidR="00295B6B" w:rsidRPr="0059463B" w14:paraId="758B3FD3" w14:textId="77777777" w:rsidTr="006D4BD7">
        <w:trPr>
          <w:trHeight w:val="567"/>
        </w:trPr>
        <w:tc>
          <w:tcPr>
            <w:tcW w:w="4253" w:type="dxa"/>
            <w:vAlign w:val="center"/>
          </w:tcPr>
          <w:p w14:paraId="5C4428E9" w14:textId="6B1017CE" w:rsidR="00295B6B" w:rsidRPr="0059463B" w:rsidRDefault="005C5DDB" w:rsidP="006D4BD7">
            <w:pPr>
              <w:jc w:val="both"/>
              <w:rPr>
                <w:rFonts w:ascii="Times New Roman" w:hAnsi="Times New Roman" w:cs="Times New Roman"/>
                <w:lang w:val="tr-TR"/>
              </w:rPr>
            </w:pPr>
            <w:r w:rsidRPr="0059463B">
              <w:rPr>
                <w:rFonts w:ascii="Times New Roman" w:hAnsi="Times New Roman" w:cs="Times New Roman"/>
                <w:lang w:val="tr-TR"/>
              </w:rPr>
              <w:t>K</w:t>
            </w:r>
            <w:r w:rsidR="00DC54C1">
              <w:rPr>
                <w:rFonts w:ascii="Times New Roman" w:hAnsi="Times New Roman" w:cs="Times New Roman"/>
                <w:lang w:val="tr-TR"/>
              </w:rPr>
              <w:t xml:space="preserve">ira </w:t>
            </w:r>
            <w:r w:rsidRPr="0059463B">
              <w:rPr>
                <w:rFonts w:ascii="Times New Roman" w:hAnsi="Times New Roman" w:cs="Times New Roman"/>
                <w:lang w:val="tr-TR"/>
              </w:rPr>
              <w:t>b</w:t>
            </w:r>
            <w:r w:rsidR="000C137F" w:rsidRPr="0059463B">
              <w:rPr>
                <w:rFonts w:ascii="Times New Roman" w:hAnsi="Times New Roman" w:cs="Times New Roman"/>
                <w:lang w:val="tr-TR"/>
              </w:rPr>
              <w:t xml:space="preserve">edellerinin </w:t>
            </w:r>
            <w:r w:rsidRPr="0059463B">
              <w:rPr>
                <w:rFonts w:ascii="Times New Roman" w:hAnsi="Times New Roman" w:cs="Times New Roman"/>
                <w:lang w:val="tr-TR"/>
              </w:rPr>
              <w:t>g</w:t>
            </w:r>
            <w:r w:rsidR="000C137F" w:rsidRPr="0059463B">
              <w:rPr>
                <w:rFonts w:ascii="Times New Roman" w:hAnsi="Times New Roman" w:cs="Times New Roman"/>
                <w:lang w:val="tr-TR"/>
              </w:rPr>
              <w:t xml:space="preserve">üncellenmesi ve </w:t>
            </w:r>
            <w:r w:rsidRPr="0059463B">
              <w:rPr>
                <w:rFonts w:ascii="Times New Roman" w:hAnsi="Times New Roman" w:cs="Times New Roman"/>
                <w:lang w:val="tr-TR"/>
              </w:rPr>
              <w:t>b</w:t>
            </w:r>
            <w:r w:rsidR="000C137F" w:rsidRPr="0059463B">
              <w:rPr>
                <w:rFonts w:ascii="Times New Roman" w:hAnsi="Times New Roman" w:cs="Times New Roman"/>
                <w:lang w:val="tr-TR"/>
              </w:rPr>
              <w:t xml:space="preserve">ildirimlerinin </w:t>
            </w:r>
            <w:r w:rsidRPr="0059463B">
              <w:rPr>
                <w:rFonts w:ascii="Times New Roman" w:hAnsi="Times New Roman" w:cs="Times New Roman"/>
                <w:lang w:val="tr-TR"/>
              </w:rPr>
              <w:t>y</w:t>
            </w:r>
            <w:r w:rsidR="000C137F" w:rsidRPr="0059463B">
              <w:rPr>
                <w:rFonts w:ascii="Times New Roman" w:hAnsi="Times New Roman" w:cs="Times New Roman"/>
                <w:lang w:val="tr-TR"/>
              </w:rPr>
              <w:t>apılması</w:t>
            </w:r>
          </w:p>
        </w:tc>
        <w:tc>
          <w:tcPr>
            <w:tcW w:w="4855" w:type="dxa"/>
          </w:tcPr>
          <w:p w14:paraId="3DE24E22" w14:textId="4EBA5AF8" w:rsidR="00295B6B" w:rsidRPr="0059463B" w:rsidRDefault="000C137F" w:rsidP="006D4BD7">
            <w:pPr>
              <w:jc w:val="both"/>
              <w:rPr>
                <w:rFonts w:ascii="Times New Roman" w:hAnsi="Times New Roman" w:cs="Times New Roman"/>
                <w:lang w:val="tr-TR"/>
              </w:rPr>
            </w:pPr>
            <w:r w:rsidRPr="0059463B">
              <w:rPr>
                <w:rFonts w:ascii="Times New Roman" w:eastAsia="Calibri" w:hAnsi="Times New Roman" w:cs="Times New Roman"/>
                <w:lang w:val="tr-TR"/>
              </w:rPr>
              <w:t>Her yıl Çevre, Şehircilik ve İklim Değişikliği Bakanlığının Milli Emlak Genel Tebliğine göre lojmanların metrekare ölçümleri üzerinden kira bedellerini güncellenir. Güncellenen kira bedelleri ODTÜ Personel Daire Başkanlığına bildirmek. ODTÜ Geliştirme Vakfı’na yatırılan lojmanlara ait kira bedelleri de ayrıca bildirmek.</w:t>
            </w:r>
          </w:p>
        </w:tc>
        <w:tc>
          <w:tcPr>
            <w:tcW w:w="4411" w:type="dxa"/>
          </w:tcPr>
          <w:p w14:paraId="26FA4742" w14:textId="77777777" w:rsidR="006D4BD7" w:rsidRDefault="006D4BD7" w:rsidP="006D4BD7">
            <w:pPr>
              <w:pStyle w:val="ListeParagraf"/>
              <w:jc w:val="both"/>
              <w:rPr>
                <w:rFonts w:ascii="Times New Roman" w:hAnsi="Times New Roman" w:cs="Times New Roman"/>
                <w:lang w:val="tr-TR"/>
              </w:rPr>
            </w:pPr>
          </w:p>
          <w:p w14:paraId="49E7D87D" w14:textId="47F1EC12" w:rsidR="00295B6B" w:rsidRPr="0059463B" w:rsidRDefault="00742581" w:rsidP="006D4BD7">
            <w:pPr>
              <w:pStyle w:val="ListeParagraf"/>
              <w:numPr>
                <w:ilvl w:val="0"/>
                <w:numId w:val="3"/>
              </w:numPr>
              <w:jc w:val="both"/>
              <w:rPr>
                <w:rFonts w:ascii="Times New Roman" w:hAnsi="Times New Roman" w:cs="Times New Roman"/>
                <w:lang w:val="tr-TR"/>
              </w:rPr>
            </w:pPr>
            <w:r w:rsidRPr="0059463B">
              <w:rPr>
                <w:rFonts w:ascii="Times New Roman" w:hAnsi="Times New Roman" w:cs="Times New Roman"/>
                <w:lang w:val="tr-TR"/>
              </w:rPr>
              <w:t>Güncellenmeyen kira bedelleri nedeniyle kurumun kamu zararına uğratılması</w:t>
            </w:r>
          </w:p>
          <w:p w14:paraId="74630AE6" w14:textId="77777777" w:rsidR="00742581" w:rsidRPr="0059463B" w:rsidRDefault="00742581" w:rsidP="006D4BD7">
            <w:pPr>
              <w:jc w:val="both"/>
              <w:rPr>
                <w:rFonts w:ascii="Times New Roman" w:hAnsi="Times New Roman" w:cs="Times New Roman"/>
                <w:lang w:val="tr-TR"/>
              </w:rPr>
            </w:pPr>
          </w:p>
          <w:p w14:paraId="2DDC3FE0" w14:textId="2888EC46" w:rsidR="00742581" w:rsidRPr="00B81BA1" w:rsidRDefault="00742581" w:rsidP="006D4BD7">
            <w:pPr>
              <w:jc w:val="both"/>
              <w:rPr>
                <w:rFonts w:ascii="Times New Roman" w:hAnsi="Times New Roman" w:cs="Times New Roman"/>
                <w:lang w:val="tr-TR"/>
              </w:rPr>
            </w:pPr>
          </w:p>
        </w:tc>
      </w:tr>
      <w:tr w:rsidR="00295B6B" w:rsidRPr="0059463B" w14:paraId="3548A3A0" w14:textId="77777777" w:rsidTr="006D4BD7">
        <w:trPr>
          <w:trHeight w:val="274"/>
        </w:trPr>
        <w:tc>
          <w:tcPr>
            <w:tcW w:w="4253" w:type="dxa"/>
            <w:vAlign w:val="center"/>
          </w:tcPr>
          <w:p w14:paraId="7A1C7E7B" w14:textId="0E171C16" w:rsidR="00295B6B" w:rsidRPr="0059463B" w:rsidRDefault="0026180A" w:rsidP="006D4BD7">
            <w:pPr>
              <w:jc w:val="both"/>
              <w:rPr>
                <w:rFonts w:ascii="Times New Roman" w:hAnsi="Times New Roman" w:cs="Times New Roman"/>
                <w:lang w:val="tr-TR"/>
              </w:rPr>
            </w:pPr>
            <w:r w:rsidRPr="0059463B">
              <w:rPr>
                <w:rFonts w:ascii="Times New Roman" w:hAnsi="Times New Roman" w:cs="Times New Roman"/>
                <w:lang w:val="tr-TR"/>
              </w:rPr>
              <w:t xml:space="preserve">Boş </w:t>
            </w:r>
            <w:r w:rsidR="005C5DDB" w:rsidRPr="0059463B">
              <w:rPr>
                <w:rFonts w:ascii="Times New Roman" w:hAnsi="Times New Roman" w:cs="Times New Roman"/>
                <w:lang w:val="tr-TR"/>
              </w:rPr>
              <w:t>l</w:t>
            </w:r>
            <w:r w:rsidRPr="0059463B">
              <w:rPr>
                <w:rFonts w:ascii="Times New Roman" w:hAnsi="Times New Roman" w:cs="Times New Roman"/>
                <w:lang w:val="tr-TR"/>
              </w:rPr>
              <w:t xml:space="preserve">ojman </w:t>
            </w:r>
            <w:r w:rsidR="005C5DDB" w:rsidRPr="0059463B">
              <w:rPr>
                <w:rFonts w:ascii="Times New Roman" w:hAnsi="Times New Roman" w:cs="Times New Roman"/>
                <w:lang w:val="tr-TR"/>
              </w:rPr>
              <w:t>l</w:t>
            </w:r>
            <w:r w:rsidRPr="0059463B">
              <w:rPr>
                <w:rFonts w:ascii="Times New Roman" w:hAnsi="Times New Roman" w:cs="Times New Roman"/>
                <w:lang w:val="tr-TR"/>
              </w:rPr>
              <w:t xml:space="preserve">istesinin </w:t>
            </w:r>
            <w:r w:rsidR="005C5DDB" w:rsidRPr="0059463B">
              <w:rPr>
                <w:rFonts w:ascii="Times New Roman" w:hAnsi="Times New Roman" w:cs="Times New Roman"/>
                <w:lang w:val="tr-TR"/>
              </w:rPr>
              <w:t>t</w:t>
            </w:r>
            <w:r w:rsidRPr="0059463B">
              <w:rPr>
                <w:rFonts w:ascii="Times New Roman" w:hAnsi="Times New Roman" w:cs="Times New Roman"/>
                <w:lang w:val="tr-TR"/>
              </w:rPr>
              <w:t xml:space="preserve">akip </w:t>
            </w:r>
            <w:r w:rsidR="005C5DDB" w:rsidRPr="0059463B">
              <w:rPr>
                <w:rFonts w:ascii="Times New Roman" w:hAnsi="Times New Roman" w:cs="Times New Roman"/>
                <w:lang w:val="tr-TR"/>
              </w:rPr>
              <w:t>e</w:t>
            </w:r>
            <w:r w:rsidRPr="0059463B">
              <w:rPr>
                <w:rFonts w:ascii="Times New Roman" w:hAnsi="Times New Roman" w:cs="Times New Roman"/>
                <w:lang w:val="tr-TR"/>
              </w:rPr>
              <w:t xml:space="preserve">dilmesi ve </w:t>
            </w:r>
            <w:r w:rsidR="005C5DDB" w:rsidRPr="0059463B">
              <w:rPr>
                <w:rFonts w:ascii="Times New Roman" w:hAnsi="Times New Roman" w:cs="Times New Roman"/>
                <w:lang w:val="tr-TR"/>
              </w:rPr>
              <w:t>t</w:t>
            </w:r>
            <w:r w:rsidRPr="0059463B">
              <w:rPr>
                <w:rFonts w:ascii="Times New Roman" w:hAnsi="Times New Roman" w:cs="Times New Roman"/>
                <w:lang w:val="tr-TR"/>
              </w:rPr>
              <w:t xml:space="preserve">ahsis </w:t>
            </w:r>
            <w:r w:rsidR="005C5DDB" w:rsidRPr="0059463B">
              <w:rPr>
                <w:rFonts w:ascii="Times New Roman" w:hAnsi="Times New Roman" w:cs="Times New Roman"/>
                <w:lang w:val="tr-TR"/>
              </w:rPr>
              <w:t>k</w:t>
            </w:r>
            <w:r w:rsidRPr="0059463B">
              <w:rPr>
                <w:rFonts w:ascii="Times New Roman" w:hAnsi="Times New Roman" w:cs="Times New Roman"/>
                <w:lang w:val="tr-TR"/>
              </w:rPr>
              <w:t xml:space="preserve">omisyonunun </w:t>
            </w:r>
            <w:r w:rsidR="005C5DDB" w:rsidRPr="0059463B">
              <w:rPr>
                <w:rFonts w:ascii="Times New Roman" w:hAnsi="Times New Roman" w:cs="Times New Roman"/>
                <w:lang w:val="tr-TR"/>
              </w:rPr>
              <w:t>o</w:t>
            </w:r>
            <w:r w:rsidRPr="0059463B">
              <w:rPr>
                <w:rFonts w:ascii="Times New Roman" w:hAnsi="Times New Roman" w:cs="Times New Roman"/>
                <w:lang w:val="tr-TR"/>
              </w:rPr>
              <w:t xml:space="preserve">nayının </w:t>
            </w:r>
            <w:r w:rsidR="005C5DDB" w:rsidRPr="0059463B">
              <w:rPr>
                <w:rFonts w:ascii="Times New Roman" w:hAnsi="Times New Roman" w:cs="Times New Roman"/>
                <w:lang w:val="tr-TR"/>
              </w:rPr>
              <w:t>a</w:t>
            </w:r>
            <w:r w:rsidRPr="0059463B">
              <w:rPr>
                <w:rFonts w:ascii="Times New Roman" w:hAnsi="Times New Roman" w:cs="Times New Roman"/>
                <w:lang w:val="tr-TR"/>
              </w:rPr>
              <w:t>lınması</w:t>
            </w:r>
          </w:p>
        </w:tc>
        <w:tc>
          <w:tcPr>
            <w:tcW w:w="4855" w:type="dxa"/>
          </w:tcPr>
          <w:p w14:paraId="05B60346" w14:textId="77777777" w:rsidR="006D4BD7" w:rsidRDefault="006D4BD7" w:rsidP="006D4BD7">
            <w:pPr>
              <w:jc w:val="both"/>
              <w:rPr>
                <w:rFonts w:ascii="Times New Roman" w:eastAsia="Calibri" w:hAnsi="Times New Roman" w:cs="Times New Roman"/>
                <w:lang w:val="tr-TR"/>
              </w:rPr>
            </w:pPr>
          </w:p>
          <w:p w14:paraId="322D260D" w14:textId="6010F5E4" w:rsidR="00295B6B" w:rsidRPr="006D4BD7" w:rsidRDefault="000C137F" w:rsidP="006D4BD7">
            <w:pPr>
              <w:jc w:val="both"/>
              <w:rPr>
                <w:rFonts w:ascii="Times New Roman" w:eastAsia="Calibri" w:hAnsi="Times New Roman" w:cs="Times New Roman"/>
                <w:lang w:val="tr-TR"/>
              </w:rPr>
            </w:pPr>
            <w:r w:rsidRPr="0059463B">
              <w:rPr>
                <w:rFonts w:ascii="Times New Roman" w:eastAsia="Calibri" w:hAnsi="Times New Roman" w:cs="Times New Roman"/>
                <w:lang w:val="tr-TR"/>
              </w:rPr>
              <w:t>Boş olan lojmanlar için sıralama listesinde belirlenen puanlama doğrultusunda, sıradaki personele tahsis yapılması için öncelikle tahsis komisyonunun onayı alıp tahsis yapılacak personeli bilgilendirmek.</w:t>
            </w:r>
          </w:p>
        </w:tc>
        <w:tc>
          <w:tcPr>
            <w:tcW w:w="4411" w:type="dxa"/>
          </w:tcPr>
          <w:p w14:paraId="7CB602A2" w14:textId="77777777" w:rsidR="006D4BD7" w:rsidRDefault="006D4BD7" w:rsidP="006D4BD7">
            <w:pPr>
              <w:pStyle w:val="ListeParagraf"/>
              <w:jc w:val="both"/>
              <w:rPr>
                <w:rFonts w:ascii="Times New Roman" w:hAnsi="Times New Roman" w:cs="Times New Roman"/>
                <w:lang w:val="tr-TR"/>
              </w:rPr>
            </w:pPr>
          </w:p>
          <w:p w14:paraId="7A7D2C84" w14:textId="32A846EF" w:rsidR="00295B6B" w:rsidRPr="0059463B" w:rsidRDefault="00742581" w:rsidP="006D4BD7">
            <w:pPr>
              <w:pStyle w:val="ListeParagraf"/>
              <w:numPr>
                <w:ilvl w:val="0"/>
                <w:numId w:val="4"/>
              </w:numPr>
              <w:jc w:val="both"/>
              <w:rPr>
                <w:rFonts w:ascii="Times New Roman" w:hAnsi="Times New Roman" w:cs="Times New Roman"/>
                <w:lang w:val="tr-TR"/>
              </w:rPr>
            </w:pPr>
            <w:r w:rsidRPr="0059463B">
              <w:rPr>
                <w:rFonts w:ascii="Times New Roman" w:hAnsi="Times New Roman" w:cs="Times New Roman"/>
                <w:lang w:val="tr-TR"/>
              </w:rPr>
              <w:t xml:space="preserve">Tahsis süreçlerinin kayıt altına alınamaması ve </w:t>
            </w:r>
            <w:proofErr w:type="spellStart"/>
            <w:r w:rsidRPr="0059463B">
              <w:rPr>
                <w:rFonts w:ascii="Times New Roman" w:hAnsi="Times New Roman" w:cs="Times New Roman"/>
                <w:lang w:val="tr-TR"/>
              </w:rPr>
              <w:t>denetlenebilirliğin</w:t>
            </w:r>
            <w:proofErr w:type="spellEnd"/>
            <w:r w:rsidRPr="0059463B">
              <w:rPr>
                <w:rFonts w:ascii="Times New Roman" w:hAnsi="Times New Roman" w:cs="Times New Roman"/>
                <w:lang w:val="tr-TR"/>
              </w:rPr>
              <w:t xml:space="preserve"> ortadan kalkması</w:t>
            </w:r>
          </w:p>
          <w:p w14:paraId="3BD116E7" w14:textId="77777777" w:rsidR="00742581" w:rsidRPr="0059463B" w:rsidRDefault="00742581" w:rsidP="006D4BD7">
            <w:pPr>
              <w:jc w:val="both"/>
              <w:rPr>
                <w:rFonts w:ascii="Times New Roman" w:hAnsi="Times New Roman" w:cs="Times New Roman"/>
                <w:lang w:val="tr-TR"/>
              </w:rPr>
            </w:pPr>
          </w:p>
          <w:p w14:paraId="01DBC12F" w14:textId="77777777" w:rsidR="00742581" w:rsidRDefault="00742581" w:rsidP="006D4BD7">
            <w:pPr>
              <w:pStyle w:val="ListeParagraf"/>
              <w:numPr>
                <w:ilvl w:val="0"/>
                <w:numId w:val="4"/>
              </w:numPr>
              <w:jc w:val="both"/>
              <w:rPr>
                <w:rFonts w:ascii="Times New Roman" w:hAnsi="Times New Roman" w:cs="Times New Roman"/>
                <w:lang w:val="tr-TR"/>
              </w:rPr>
            </w:pPr>
            <w:r w:rsidRPr="0059463B">
              <w:rPr>
                <w:rFonts w:ascii="Times New Roman" w:hAnsi="Times New Roman" w:cs="Times New Roman"/>
                <w:lang w:val="tr-TR"/>
              </w:rPr>
              <w:t>Komisyon onayının gecikmesi durumunda süreçte aksaklık yaşanması</w:t>
            </w:r>
          </w:p>
          <w:p w14:paraId="091993D2" w14:textId="3FCF81F2" w:rsidR="00DC54C1" w:rsidRPr="006D4BD7" w:rsidRDefault="00DC54C1" w:rsidP="006D4BD7">
            <w:pPr>
              <w:jc w:val="both"/>
              <w:rPr>
                <w:rFonts w:ascii="Times New Roman" w:hAnsi="Times New Roman" w:cs="Times New Roman"/>
                <w:lang w:val="tr-TR"/>
              </w:rPr>
            </w:pPr>
          </w:p>
        </w:tc>
      </w:tr>
      <w:tr w:rsidR="00295B6B" w:rsidRPr="0059463B" w14:paraId="417E46BD" w14:textId="77777777" w:rsidTr="006D4BD7">
        <w:trPr>
          <w:trHeight w:val="102"/>
        </w:trPr>
        <w:tc>
          <w:tcPr>
            <w:tcW w:w="4253" w:type="dxa"/>
            <w:vAlign w:val="center"/>
          </w:tcPr>
          <w:p w14:paraId="20299BBA" w14:textId="5B893612" w:rsidR="006D4BD7" w:rsidRDefault="006D4BD7" w:rsidP="006D4BD7">
            <w:pPr>
              <w:jc w:val="both"/>
              <w:rPr>
                <w:rFonts w:ascii="Times New Roman" w:hAnsi="Times New Roman" w:cs="Times New Roman"/>
                <w:lang w:val="tr-TR"/>
              </w:rPr>
            </w:pPr>
          </w:p>
          <w:p w14:paraId="68532ADF" w14:textId="77777777" w:rsidR="006D4BD7" w:rsidRDefault="006D4BD7" w:rsidP="006D4BD7">
            <w:pPr>
              <w:jc w:val="both"/>
              <w:rPr>
                <w:rFonts w:ascii="Times New Roman" w:hAnsi="Times New Roman" w:cs="Times New Roman"/>
                <w:lang w:val="tr-TR"/>
              </w:rPr>
            </w:pPr>
          </w:p>
          <w:p w14:paraId="3EB9FDC7" w14:textId="3C65959E" w:rsidR="00295B6B" w:rsidRPr="0059463B" w:rsidRDefault="00D551BC" w:rsidP="006D4BD7">
            <w:pPr>
              <w:jc w:val="both"/>
              <w:rPr>
                <w:rFonts w:ascii="Times New Roman" w:hAnsi="Times New Roman" w:cs="Times New Roman"/>
                <w:lang w:val="tr-TR"/>
              </w:rPr>
            </w:pPr>
            <w:r w:rsidRPr="0059463B">
              <w:rPr>
                <w:rFonts w:ascii="Times New Roman" w:hAnsi="Times New Roman" w:cs="Times New Roman"/>
                <w:lang w:val="tr-TR"/>
              </w:rPr>
              <w:t xml:space="preserve">Sözleşmelerin </w:t>
            </w:r>
            <w:r w:rsidR="001B1B92" w:rsidRPr="0059463B">
              <w:rPr>
                <w:rFonts w:ascii="Times New Roman" w:hAnsi="Times New Roman" w:cs="Times New Roman"/>
                <w:lang w:val="tr-TR"/>
              </w:rPr>
              <w:t>h</w:t>
            </w:r>
            <w:r w:rsidRPr="0059463B">
              <w:rPr>
                <w:rFonts w:ascii="Times New Roman" w:hAnsi="Times New Roman" w:cs="Times New Roman"/>
                <w:lang w:val="tr-TR"/>
              </w:rPr>
              <w:t xml:space="preserve">azırlanması, </w:t>
            </w:r>
            <w:r w:rsidR="001B1B92" w:rsidRPr="0059463B">
              <w:rPr>
                <w:rFonts w:ascii="Times New Roman" w:hAnsi="Times New Roman" w:cs="Times New Roman"/>
                <w:lang w:val="tr-TR"/>
              </w:rPr>
              <w:t>k</w:t>
            </w:r>
            <w:r w:rsidRPr="0059463B">
              <w:rPr>
                <w:rFonts w:ascii="Times New Roman" w:hAnsi="Times New Roman" w:cs="Times New Roman"/>
                <w:lang w:val="tr-TR"/>
              </w:rPr>
              <w:t xml:space="preserve">ayıt </w:t>
            </w:r>
            <w:r w:rsidR="001B1B92" w:rsidRPr="0059463B">
              <w:rPr>
                <w:rFonts w:ascii="Times New Roman" w:hAnsi="Times New Roman" w:cs="Times New Roman"/>
                <w:lang w:val="tr-TR"/>
              </w:rPr>
              <w:t>a</w:t>
            </w:r>
            <w:r w:rsidRPr="0059463B">
              <w:rPr>
                <w:rFonts w:ascii="Times New Roman" w:hAnsi="Times New Roman" w:cs="Times New Roman"/>
                <w:lang w:val="tr-TR"/>
              </w:rPr>
              <w:t xml:space="preserve">ltına </w:t>
            </w:r>
            <w:r w:rsidR="001B1B92" w:rsidRPr="0059463B">
              <w:rPr>
                <w:rFonts w:ascii="Times New Roman" w:hAnsi="Times New Roman" w:cs="Times New Roman"/>
                <w:lang w:val="tr-TR"/>
              </w:rPr>
              <w:t>a</w:t>
            </w:r>
            <w:r w:rsidRPr="0059463B">
              <w:rPr>
                <w:rFonts w:ascii="Times New Roman" w:hAnsi="Times New Roman" w:cs="Times New Roman"/>
                <w:lang w:val="tr-TR"/>
              </w:rPr>
              <w:t xml:space="preserve">lınması, </w:t>
            </w:r>
            <w:r w:rsidR="001B1B92" w:rsidRPr="0059463B">
              <w:rPr>
                <w:rFonts w:ascii="Times New Roman" w:hAnsi="Times New Roman" w:cs="Times New Roman"/>
                <w:lang w:val="tr-TR"/>
              </w:rPr>
              <w:t>d</w:t>
            </w:r>
            <w:r w:rsidRPr="0059463B">
              <w:rPr>
                <w:rFonts w:ascii="Times New Roman" w:hAnsi="Times New Roman" w:cs="Times New Roman"/>
                <w:lang w:val="tr-TR"/>
              </w:rPr>
              <w:t xml:space="preserve">osyalanması ve </w:t>
            </w:r>
            <w:r w:rsidR="001B1B92" w:rsidRPr="0059463B">
              <w:rPr>
                <w:rFonts w:ascii="Times New Roman" w:hAnsi="Times New Roman" w:cs="Times New Roman"/>
                <w:lang w:val="tr-TR"/>
              </w:rPr>
              <w:t>g</w:t>
            </w:r>
            <w:r w:rsidRPr="0059463B">
              <w:rPr>
                <w:rFonts w:ascii="Times New Roman" w:hAnsi="Times New Roman" w:cs="Times New Roman"/>
                <w:lang w:val="tr-TR"/>
              </w:rPr>
              <w:t xml:space="preserve">üvenliğinin </w:t>
            </w:r>
            <w:r w:rsidR="001B1B92" w:rsidRPr="0059463B">
              <w:rPr>
                <w:rFonts w:ascii="Times New Roman" w:hAnsi="Times New Roman" w:cs="Times New Roman"/>
                <w:lang w:val="tr-TR"/>
              </w:rPr>
              <w:t>s</w:t>
            </w:r>
            <w:r w:rsidRPr="0059463B">
              <w:rPr>
                <w:rFonts w:ascii="Times New Roman" w:hAnsi="Times New Roman" w:cs="Times New Roman"/>
                <w:lang w:val="tr-TR"/>
              </w:rPr>
              <w:t>ağlanması</w:t>
            </w:r>
          </w:p>
        </w:tc>
        <w:tc>
          <w:tcPr>
            <w:tcW w:w="4855" w:type="dxa"/>
          </w:tcPr>
          <w:p w14:paraId="7BDD25AE" w14:textId="77777777" w:rsidR="006D4BD7" w:rsidRDefault="006D4BD7" w:rsidP="006D4BD7">
            <w:pPr>
              <w:jc w:val="both"/>
              <w:rPr>
                <w:rFonts w:ascii="Times New Roman" w:eastAsia="Calibri" w:hAnsi="Times New Roman" w:cs="Times New Roman"/>
                <w:lang w:val="tr-TR"/>
              </w:rPr>
            </w:pPr>
          </w:p>
          <w:p w14:paraId="66193C8F" w14:textId="3CF6B1D2" w:rsidR="006D4BD7" w:rsidRDefault="006D4BD7" w:rsidP="006D4BD7">
            <w:pPr>
              <w:jc w:val="both"/>
              <w:rPr>
                <w:rFonts w:ascii="Times New Roman" w:eastAsia="Calibri" w:hAnsi="Times New Roman" w:cs="Times New Roman"/>
                <w:lang w:val="tr-TR"/>
              </w:rPr>
            </w:pPr>
          </w:p>
          <w:p w14:paraId="5F10959C" w14:textId="1A487716" w:rsidR="006D4BD7" w:rsidRDefault="006D4BD7" w:rsidP="006D4BD7">
            <w:pPr>
              <w:jc w:val="both"/>
              <w:rPr>
                <w:rFonts w:ascii="Times New Roman" w:eastAsia="Calibri" w:hAnsi="Times New Roman" w:cs="Times New Roman"/>
                <w:lang w:val="tr-TR"/>
              </w:rPr>
            </w:pPr>
          </w:p>
          <w:p w14:paraId="690D52AB" w14:textId="77777777" w:rsidR="006D4BD7" w:rsidRDefault="006D4BD7" w:rsidP="006D4BD7">
            <w:pPr>
              <w:jc w:val="both"/>
              <w:rPr>
                <w:rFonts w:ascii="Times New Roman" w:eastAsia="Calibri" w:hAnsi="Times New Roman" w:cs="Times New Roman"/>
                <w:lang w:val="tr-TR"/>
              </w:rPr>
            </w:pPr>
          </w:p>
          <w:p w14:paraId="1E529A08" w14:textId="7354DC2E" w:rsidR="006D4BD7" w:rsidRDefault="006D4BD7" w:rsidP="006D4BD7">
            <w:pPr>
              <w:jc w:val="both"/>
              <w:rPr>
                <w:rFonts w:ascii="Times New Roman" w:eastAsia="Calibri" w:hAnsi="Times New Roman" w:cs="Times New Roman"/>
                <w:lang w:val="tr-TR"/>
              </w:rPr>
            </w:pPr>
          </w:p>
          <w:p w14:paraId="198FC5AD" w14:textId="77777777" w:rsidR="006D4BD7" w:rsidRDefault="006D4BD7" w:rsidP="006D4BD7">
            <w:pPr>
              <w:jc w:val="both"/>
              <w:rPr>
                <w:rFonts w:ascii="Times New Roman" w:eastAsia="Calibri" w:hAnsi="Times New Roman" w:cs="Times New Roman"/>
                <w:lang w:val="tr-TR"/>
              </w:rPr>
            </w:pPr>
          </w:p>
          <w:p w14:paraId="1B5DC61F" w14:textId="7747F36D" w:rsidR="00742581" w:rsidRPr="0059463B" w:rsidRDefault="00742581" w:rsidP="006D4BD7">
            <w:pPr>
              <w:jc w:val="both"/>
              <w:rPr>
                <w:rFonts w:ascii="Times New Roman" w:eastAsia="Calibri" w:hAnsi="Times New Roman" w:cs="Times New Roman"/>
                <w:lang w:val="tr-TR"/>
              </w:rPr>
            </w:pPr>
            <w:r w:rsidRPr="0059463B">
              <w:rPr>
                <w:rFonts w:ascii="Times New Roman" w:eastAsia="Calibri" w:hAnsi="Times New Roman" w:cs="Times New Roman"/>
                <w:lang w:val="tr-TR"/>
              </w:rPr>
              <w:t xml:space="preserve">Lojmanda oturmaya hak kazanan mensubumuz ile ilgili tüm sözleşmeleri ve gerekli evrakları hazırlayıp imza karşılığı </w:t>
            </w:r>
            <w:r w:rsidR="00D551BC" w:rsidRPr="0059463B">
              <w:rPr>
                <w:rFonts w:ascii="Times New Roman" w:eastAsia="Calibri" w:hAnsi="Times New Roman" w:cs="Times New Roman"/>
                <w:lang w:val="tr-TR"/>
              </w:rPr>
              <w:t xml:space="preserve">kişisel verileri </w:t>
            </w:r>
            <w:r w:rsidRPr="0059463B">
              <w:rPr>
                <w:rFonts w:ascii="Times New Roman" w:eastAsia="Calibri" w:hAnsi="Times New Roman" w:cs="Times New Roman"/>
                <w:lang w:val="tr-TR"/>
              </w:rPr>
              <w:t>kayıt altına almak.</w:t>
            </w:r>
          </w:p>
          <w:p w14:paraId="00498E2B" w14:textId="77777777" w:rsidR="00295B6B" w:rsidRPr="0059463B" w:rsidRDefault="00295B6B" w:rsidP="006D4BD7">
            <w:pPr>
              <w:jc w:val="both"/>
              <w:rPr>
                <w:rFonts w:ascii="Times New Roman" w:hAnsi="Times New Roman" w:cs="Times New Roman"/>
                <w:lang w:val="tr-TR"/>
              </w:rPr>
            </w:pPr>
          </w:p>
        </w:tc>
        <w:tc>
          <w:tcPr>
            <w:tcW w:w="4411" w:type="dxa"/>
          </w:tcPr>
          <w:p w14:paraId="6E3D11F1" w14:textId="58032F02" w:rsidR="001B1B92" w:rsidRPr="0059463B" w:rsidRDefault="001B1B92" w:rsidP="006D4BD7">
            <w:pPr>
              <w:jc w:val="both"/>
              <w:rPr>
                <w:rFonts w:ascii="Times New Roman" w:hAnsi="Times New Roman" w:cs="Times New Roman"/>
                <w:lang w:val="tr-TR"/>
              </w:rPr>
            </w:pPr>
          </w:p>
          <w:p w14:paraId="6B01DBD7" w14:textId="7966AF02" w:rsidR="006D4BD7" w:rsidRPr="006D4BD7" w:rsidRDefault="0026180A" w:rsidP="006D4BD7">
            <w:pPr>
              <w:pStyle w:val="ListeParagraf"/>
              <w:numPr>
                <w:ilvl w:val="0"/>
                <w:numId w:val="5"/>
              </w:numPr>
              <w:jc w:val="both"/>
              <w:rPr>
                <w:rFonts w:ascii="Times New Roman" w:hAnsi="Times New Roman" w:cs="Times New Roman"/>
                <w:lang w:val="tr-TR"/>
              </w:rPr>
            </w:pPr>
            <w:r w:rsidRPr="0059463B">
              <w:rPr>
                <w:rFonts w:ascii="Times New Roman" w:hAnsi="Times New Roman" w:cs="Times New Roman"/>
                <w:lang w:val="tr-TR"/>
              </w:rPr>
              <w:t>Sözleşme ve belgelerin eksikliği durumunda olası bir uyuşmazlıkta</w:t>
            </w:r>
            <w:r w:rsidR="00D551BC" w:rsidRPr="0059463B">
              <w:rPr>
                <w:rFonts w:ascii="Times New Roman" w:hAnsi="Times New Roman" w:cs="Times New Roman"/>
                <w:lang w:val="tr-TR"/>
              </w:rPr>
              <w:t xml:space="preserve"> </w:t>
            </w:r>
            <w:r w:rsidRPr="0059463B">
              <w:rPr>
                <w:rFonts w:ascii="Times New Roman" w:hAnsi="Times New Roman" w:cs="Times New Roman"/>
                <w:lang w:val="tr-TR"/>
              </w:rPr>
              <w:t>kurumun elinde yasal ispat aracının bulunmaması</w:t>
            </w:r>
          </w:p>
          <w:p w14:paraId="08C45107" w14:textId="77777777" w:rsidR="00D551BC" w:rsidRPr="0059463B" w:rsidRDefault="00D551BC" w:rsidP="006D4BD7">
            <w:pPr>
              <w:jc w:val="both"/>
              <w:rPr>
                <w:rFonts w:ascii="Times New Roman" w:hAnsi="Times New Roman" w:cs="Times New Roman"/>
                <w:lang w:val="tr-TR"/>
              </w:rPr>
            </w:pPr>
          </w:p>
          <w:p w14:paraId="20DFB70E" w14:textId="44662906" w:rsidR="00D551BC" w:rsidRPr="0059463B" w:rsidRDefault="001B1B92" w:rsidP="006D4BD7">
            <w:pPr>
              <w:pStyle w:val="ListeParagraf"/>
              <w:numPr>
                <w:ilvl w:val="0"/>
                <w:numId w:val="5"/>
              </w:numPr>
              <w:jc w:val="both"/>
              <w:rPr>
                <w:rFonts w:ascii="Times New Roman" w:hAnsi="Times New Roman" w:cs="Times New Roman"/>
                <w:lang w:val="tr-TR"/>
              </w:rPr>
            </w:pPr>
            <w:r w:rsidRPr="0059463B">
              <w:rPr>
                <w:rFonts w:ascii="Times New Roman" w:hAnsi="Times New Roman" w:cs="Times New Roman"/>
                <w:lang w:val="tr-TR"/>
              </w:rPr>
              <w:t>Kişisel verilerin kaybolması durumunda; kurumun KVKK kapsamında ağır idari ve hukuki yaptırımlarla karşı karşıya kalması, ilgili kişilerin hak mahrumiyeti yaşaması ve kurumun kurumsal itibarının zedelenmesi.</w:t>
            </w:r>
          </w:p>
        </w:tc>
      </w:tr>
      <w:tr w:rsidR="00295B6B" w:rsidRPr="0059463B" w14:paraId="518A9135" w14:textId="77777777" w:rsidTr="006D4BD7">
        <w:trPr>
          <w:trHeight w:val="567"/>
        </w:trPr>
        <w:tc>
          <w:tcPr>
            <w:tcW w:w="4253" w:type="dxa"/>
            <w:vAlign w:val="center"/>
          </w:tcPr>
          <w:p w14:paraId="246CA0CC" w14:textId="2D02A98A" w:rsidR="00295B6B" w:rsidRPr="0059463B" w:rsidRDefault="00364B61" w:rsidP="006D4BD7">
            <w:pPr>
              <w:jc w:val="both"/>
              <w:rPr>
                <w:rFonts w:ascii="Times New Roman" w:hAnsi="Times New Roman" w:cs="Times New Roman"/>
                <w:lang w:val="tr-TR"/>
              </w:rPr>
            </w:pPr>
            <w:r w:rsidRPr="0059463B">
              <w:rPr>
                <w:rFonts w:ascii="Times New Roman" w:hAnsi="Times New Roman" w:cs="Times New Roman"/>
                <w:lang w:val="tr-TR"/>
              </w:rPr>
              <w:t>Lojman kullanım</w:t>
            </w:r>
            <w:r w:rsidR="005C5DDB" w:rsidRPr="0059463B">
              <w:rPr>
                <w:rFonts w:ascii="Times New Roman" w:hAnsi="Times New Roman" w:cs="Times New Roman"/>
                <w:lang w:val="tr-TR"/>
              </w:rPr>
              <w:t xml:space="preserve"> sürelerinin ve s</w:t>
            </w:r>
            <w:r w:rsidRPr="0059463B">
              <w:rPr>
                <w:rFonts w:ascii="Times New Roman" w:hAnsi="Times New Roman" w:cs="Times New Roman"/>
                <w:lang w:val="tr-TR"/>
              </w:rPr>
              <w:t xml:space="preserve">üresi </w:t>
            </w:r>
            <w:r w:rsidR="00B81BA1">
              <w:rPr>
                <w:rFonts w:ascii="Times New Roman" w:hAnsi="Times New Roman" w:cs="Times New Roman"/>
                <w:lang w:val="tr-TR"/>
              </w:rPr>
              <w:t xml:space="preserve">sona eren </w:t>
            </w:r>
            <w:r w:rsidRPr="0059463B">
              <w:rPr>
                <w:rFonts w:ascii="Times New Roman" w:hAnsi="Times New Roman" w:cs="Times New Roman"/>
                <w:lang w:val="tr-TR"/>
              </w:rPr>
              <w:t xml:space="preserve">mensubun tahliye sürecinin </w:t>
            </w:r>
            <w:r w:rsidR="005C5DDB" w:rsidRPr="0059463B">
              <w:rPr>
                <w:rFonts w:ascii="Times New Roman" w:hAnsi="Times New Roman" w:cs="Times New Roman"/>
                <w:lang w:val="tr-TR"/>
              </w:rPr>
              <w:t>takibi</w:t>
            </w:r>
          </w:p>
        </w:tc>
        <w:tc>
          <w:tcPr>
            <w:tcW w:w="4855" w:type="dxa"/>
          </w:tcPr>
          <w:p w14:paraId="75B777D0" w14:textId="215DAD51" w:rsidR="0026180A" w:rsidRPr="0059463B" w:rsidRDefault="0026180A" w:rsidP="006D4BD7">
            <w:pPr>
              <w:jc w:val="both"/>
              <w:rPr>
                <w:rFonts w:ascii="Times New Roman" w:eastAsia="Calibri" w:hAnsi="Times New Roman" w:cs="Times New Roman"/>
                <w:lang w:val="tr-TR"/>
              </w:rPr>
            </w:pPr>
            <w:r w:rsidRPr="0059463B">
              <w:rPr>
                <w:rFonts w:ascii="Times New Roman" w:eastAsia="Calibri" w:hAnsi="Times New Roman" w:cs="Times New Roman"/>
                <w:lang w:val="tr-TR"/>
              </w:rPr>
              <w:t xml:space="preserve">Lojmandan çıkması gereken (süresi dolan) personelin sıralamasını takip edip, konutu </w:t>
            </w:r>
            <w:r w:rsidR="00B81BA1">
              <w:rPr>
                <w:rFonts w:ascii="Times New Roman" w:eastAsia="Calibri" w:hAnsi="Times New Roman" w:cs="Times New Roman"/>
                <w:lang w:val="tr-TR"/>
              </w:rPr>
              <w:t>tahliye</w:t>
            </w:r>
            <w:r w:rsidRPr="0059463B">
              <w:rPr>
                <w:rFonts w:ascii="Times New Roman" w:eastAsia="Calibri" w:hAnsi="Times New Roman" w:cs="Times New Roman"/>
                <w:lang w:val="tr-TR"/>
              </w:rPr>
              <w:t xml:space="preserve"> yazısını süresi içinde yazıp bildirim yapmak. </w:t>
            </w:r>
            <w:r w:rsidR="00B81BA1">
              <w:rPr>
                <w:rFonts w:ascii="Times New Roman" w:eastAsia="Calibri" w:hAnsi="Times New Roman" w:cs="Times New Roman"/>
                <w:lang w:val="tr-TR"/>
              </w:rPr>
              <w:t>Tahliye edilen</w:t>
            </w:r>
            <w:r w:rsidRPr="0059463B">
              <w:rPr>
                <w:rFonts w:ascii="Times New Roman" w:eastAsia="Calibri" w:hAnsi="Times New Roman" w:cs="Times New Roman"/>
                <w:lang w:val="tr-TR"/>
              </w:rPr>
              <w:t xml:space="preserve"> konutun teslim alınması aşamasında, konutun içerisinde herhangi bir eksiklik olup olmadığı edilip lojman çıkış tutanağı ile imza altına alıp anahtarı alarak konutu teslim almak.</w:t>
            </w:r>
          </w:p>
          <w:p w14:paraId="7661674E" w14:textId="77777777" w:rsidR="00295B6B" w:rsidRPr="0059463B" w:rsidRDefault="00295B6B" w:rsidP="006D4BD7">
            <w:pPr>
              <w:jc w:val="both"/>
              <w:rPr>
                <w:rFonts w:ascii="Times New Roman" w:hAnsi="Times New Roman" w:cs="Times New Roman"/>
                <w:lang w:val="tr-TR"/>
              </w:rPr>
            </w:pPr>
          </w:p>
        </w:tc>
        <w:tc>
          <w:tcPr>
            <w:tcW w:w="4411" w:type="dxa"/>
          </w:tcPr>
          <w:p w14:paraId="7F1A2296" w14:textId="77777777" w:rsidR="006D4BD7" w:rsidRDefault="006D4BD7" w:rsidP="006D4BD7">
            <w:pPr>
              <w:pStyle w:val="ListeParagraf"/>
              <w:jc w:val="both"/>
              <w:rPr>
                <w:rFonts w:ascii="Times New Roman" w:hAnsi="Times New Roman" w:cs="Times New Roman"/>
                <w:lang w:val="tr-TR"/>
              </w:rPr>
            </w:pPr>
          </w:p>
          <w:p w14:paraId="11C51A31" w14:textId="59A08BA5" w:rsidR="00295B6B" w:rsidRPr="0059463B" w:rsidRDefault="001B1B92" w:rsidP="006D4BD7">
            <w:pPr>
              <w:pStyle w:val="ListeParagraf"/>
              <w:numPr>
                <w:ilvl w:val="0"/>
                <w:numId w:val="6"/>
              </w:numPr>
              <w:jc w:val="both"/>
              <w:rPr>
                <w:rFonts w:ascii="Times New Roman" w:hAnsi="Times New Roman" w:cs="Times New Roman"/>
                <w:lang w:val="tr-TR"/>
              </w:rPr>
            </w:pPr>
            <w:r w:rsidRPr="0059463B">
              <w:rPr>
                <w:rFonts w:ascii="Times New Roman" w:hAnsi="Times New Roman" w:cs="Times New Roman"/>
                <w:lang w:val="tr-TR"/>
              </w:rPr>
              <w:t>Tahliye süreçlerinin aksaması durumunda; lojman bekleyen hak sahiplerinin mağduriyet yaşaması, kamu kaynaklarının verimsiz kullanılması ve konut tahsis süreçlerinde gecikmeler yaşanması.</w:t>
            </w:r>
          </w:p>
        </w:tc>
      </w:tr>
      <w:tr w:rsidR="0026180A" w:rsidRPr="0059463B" w14:paraId="424BEED1" w14:textId="77777777" w:rsidTr="006D4BD7">
        <w:trPr>
          <w:trHeight w:val="1408"/>
        </w:trPr>
        <w:tc>
          <w:tcPr>
            <w:tcW w:w="4253" w:type="dxa"/>
            <w:vAlign w:val="center"/>
          </w:tcPr>
          <w:p w14:paraId="4BF17C10" w14:textId="656AFCEE" w:rsidR="0026180A" w:rsidRPr="0059463B" w:rsidRDefault="00364B61" w:rsidP="006D4BD7">
            <w:pPr>
              <w:jc w:val="both"/>
              <w:rPr>
                <w:rFonts w:ascii="Times New Roman" w:hAnsi="Times New Roman" w:cs="Times New Roman"/>
                <w:lang w:val="tr-TR"/>
              </w:rPr>
            </w:pPr>
            <w:r w:rsidRPr="0059463B">
              <w:rPr>
                <w:rFonts w:ascii="Times New Roman" w:hAnsi="Times New Roman" w:cs="Times New Roman"/>
                <w:lang w:val="tr-TR"/>
              </w:rPr>
              <w:t>Komisyonumuzca alınan kararları Resmi yazı kuralları gereği hazırlayıp we</w:t>
            </w:r>
            <w:r w:rsidR="001B1B92" w:rsidRPr="0059463B">
              <w:rPr>
                <w:rFonts w:ascii="Times New Roman" w:hAnsi="Times New Roman" w:cs="Times New Roman"/>
                <w:lang w:val="tr-TR"/>
              </w:rPr>
              <w:t>b</w:t>
            </w:r>
            <w:r w:rsidRPr="0059463B">
              <w:rPr>
                <w:rFonts w:ascii="Times New Roman" w:hAnsi="Times New Roman" w:cs="Times New Roman"/>
                <w:lang w:val="tr-TR"/>
              </w:rPr>
              <w:t xml:space="preserve"> sitesine uygun olarak yayınlamak</w:t>
            </w:r>
            <w:r w:rsidR="001B1B92" w:rsidRPr="0059463B">
              <w:rPr>
                <w:rFonts w:ascii="Times New Roman" w:hAnsi="Times New Roman" w:cs="Times New Roman"/>
                <w:lang w:val="tr-TR"/>
              </w:rPr>
              <w:t>.</w:t>
            </w:r>
          </w:p>
        </w:tc>
        <w:tc>
          <w:tcPr>
            <w:tcW w:w="4855" w:type="dxa"/>
          </w:tcPr>
          <w:p w14:paraId="306C3AE9" w14:textId="77777777" w:rsidR="006D4BD7" w:rsidRDefault="006D4BD7" w:rsidP="006D4BD7">
            <w:pPr>
              <w:jc w:val="both"/>
              <w:rPr>
                <w:rFonts w:ascii="Times New Roman" w:eastAsia="Times New Roman" w:hAnsi="Times New Roman" w:cs="Times New Roman"/>
                <w:lang w:val="tr-TR" w:eastAsia="tr-TR"/>
              </w:rPr>
            </w:pPr>
          </w:p>
          <w:p w14:paraId="7925AFDA" w14:textId="77777777" w:rsidR="004D5E96" w:rsidRDefault="004D5E96" w:rsidP="006D4BD7">
            <w:pPr>
              <w:jc w:val="both"/>
              <w:rPr>
                <w:rFonts w:ascii="Times New Roman" w:eastAsia="Times New Roman" w:hAnsi="Times New Roman" w:cs="Times New Roman"/>
                <w:lang w:val="tr-TR" w:eastAsia="tr-TR"/>
              </w:rPr>
            </w:pPr>
          </w:p>
          <w:p w14:paraId="6DE6ABF3" w14:textId="6421A0E0" w:rsidR="0026180A" w:rsidRPr="0059463B" w:rsidRDefault="0026180A" w:rsidP="006D4BD7">
            <w:pPr>
              <w:jc w:val="both"/>
              <w:rPr>
                <w:rFonts w:ascii="Times New Roman" w:eastAsia="Times New Roman" w:hAnsi="Times New Roman" w:cs="Times New Roman"/>
                <w:lang w:val="tr-TR" w:eastAsia="tr-TR"/>
              </w:rPr>
            </w:pPr>
            <w:r w:rsidRPr="0059463B">
              <w:rPr>
                <w:rFonts w:ascii="Times New Roman" w:eastAsia="Times New Roman" w:hAnsi="Times New Roman" w:cs="Times New Roman"/>
                <w:lang w:val="tr-TR" w:eastAsia="tr-TR"/>
              </w:rPr>
              <w:t>Konut Tahsis Komisyonu kararlarını ve duyuruları hazırlamak ve Üniversitenin web sayfasında yayınlatmak</w:t>
            </w:r>
          </w:p>
          <w:p w14:paraId="440408BA" w14:textId="77777777" w:rsidR="0026180A" w:rsidRDefault="0026180A" w:rsidP="006D4BD7">
            <w:pPr>
              <w:jc w:val="both"/>
              <w:rPr>
                <w:rFonts w:ascii="Times New Roman" w:hAnsi="Times New Roman" w:cs="Times New Roman"/>
                <w:lang w:val="tr-TR"/>
              </w:rPr>
            </w:pPr>
          </w:p>
          <w:p w14:paraId="5F4495BC" w14:textId="77777777" w:rsidR="006D4BD7" w:rsidRDefault="006D4BD7" w:rsidP="006D4BD7">
            <w:pPr>
              <w:jc w:val="both"/>
              <w:rPr>
                <w:rFonts w:ascii="Times New Roman" w:hAnsi="Times New Roman" w:cs="Times New Roman"/>
                <w:lang w:val="tr-TR"/>
              </w:rPr>
            </w:pPr>
          </w:p>
          <w:p w14:paraId="0A315B8A" w14:textId="69CFAD9F" w:rsidR="006D4BD7" w:rsidRPr="0059463B" w:rsidRDefault="006D4BD7" w:rsidP="006D4BD7">
            <w:pPr>
              <w:jc w:val="both"/>
              <w:rPr>
                <w:rFonts w:ascii="Times New Roman" w:hAnsi="Times New Roman" w:cs="Times New Roman"/>
                <w:lang w:val="tr-TR"/>
              </w:rPr>
            </w:pPr>
          </w:p>
        </w:tc>
        <w:tc>
          <w:tcPr>
            <w:tcW w:w="4411" w:type="dxa"/>
          </w:tcPr>
          <w:p w14:paraId="22917BED" w14:textId="248C4C29" w:rsidR="0026180A" w:rsidRPr="0059463B" w:rsidRDefault="001B1B92" w:rsidP="006D4BD7">
            <w:pPr>
              <w:pStyle w:val="ListeParagraf"/>
              <w:numPr>
                <w:ilvl w:val="0"/>
                <w:numId w:val="7"/>
              </w:numPr>
              <w:jc w:val="both"/>
              <w:rPr>
                <w:rFonts w:ascii="Times New Roman" w:hAnsi="Times New Roman" w:cs="Times New Roman"/>
                <w:lang w:val="tr-TR"/>
              </w:rPr>
            </w:pPr>
            <w:r w:rsidRPr="0059463B">
              <w:rPr>
                <w:rFonts w:ascii="Times New Roman" w:hAnsi="Times New Roman" w:cs="Times New Roman"/>
                <w:lang w:val="tr-TR"/>
              </w:rPr>
              <w:t>Kararların ve duyuruların zamanında veya usulüne uygun paylaşılmaması durumunda; kurumsal şeffaflığın zedelenmesi, bilgi kirliliği oluşması ve hak sahiplerinin yanlış bilgilendirilmesi.</w:t>
            </w:r>
          </w:p>
        </w:tc>
      </w:tr>
      <w:tr w:rsidR="0026180A" w:rsidRPr="0059463B" w14:paraId="18E77E80" w14:textId="77777777" w:rsidTr="006D4BD7">
        <w:trPr>
          <w:trHeight w:val="2117"/>
        </w:trPr>
        <w:tc>
          <w:tcPr>
            <w:tcW w:w="4253" w:type="dxa"/>
            <w:vAlign w:val="center"/>
          </w:tcPr>
          <w:p w14:paraId="68A0694F" w14:textId="6E601E8B" w:rsidR="0026180A" w:rsidRPr="0059463B" w:rsidRDefault="00364B61" w:rsidP="006D4BD7">
            <w:pPr>
              <w:jc w:val="both"/>
              <w:rPr>
                <w:rFonts w:ascii="Times New Roman" w:hAnsi="Times New Roman" w:cs="Times New Roman"/>
                <w:lang w:val="tr-TR"/>
              </w:rPr>
            </w:pPr>
            <w:r w:rsidRPr="0059463B">
              <w:rPr>
                <w:rFonts w:ascii="Times New Roman" w:hAnsi="Times New Roman" w:cs="Times New Roman"/>
                <w:lang w:val="tr-TR"/>
              </w:rPr>
              <w:t>Bilgi</w:t>
            </w:r>
            <w:r w:rsidR="00A4537C" w:rsidRPr="0059463B">
              <w:rPr>
                <w:rFonts w:ascii="Times New Roman" w:hAnsi="Times New Roman" w:cs="Times New Roman"/>
                <w:lang w:val="tr-TR"/>
              </w:rPr>
              <w:t xml:space="preserve"> e</w:t>
            </w:r>
            <w:r w:rsidRPr="0059463B">
              <w:rPr>
                <w:rFonts w:ascii="Times New Roman" w:hAnsi="Times New Roman" w:cs="Times New Roman"/>
                <w:lang w:val="tr-TR"/>
              </w:rPr>
              <w:t>di</w:t>
            </w:r>
            <w:r w:rsidR="00A4537C" w:rsidRPr="0059463B">
              <w:rPr>
                <w:rFonts w:ascii="Times New Roman" w:hAnsi="Times New Roman" w:cs="Times New Roman"/>
                <w:lang w:val="tr-TR"/>
              </w:rPr>
              <w:t>n</w:t>
            </w:r>
            <w:r w:rsidRPr="0059463B">
              <w:rPr>
                <w:rFonts w:ascii="Times New Roman" w:hAnsi="Times New Roman" w:cs="Times New Roman"/>
                <w:lang w:val="tr-TR"/>
              </w:rPr>
              <w:t xml:space="preserve">me kapsamında gelen </w:t>
            </w:r>
            <w:r w:rsidR="00A4537C" w:rsidRPr="0059463B">
              <w:rPr>
                <w:rFonts w:ascii="Times New Roman" w:hAnsi="Times New Roman" w:cs="Times New Roman"/>
                <w:lang w:val="tr-TR"/>
              </w:rPr>
              <w:t>yazışmalar</w:t>
            </w:r>
            <w:r w:rsidR="001B1B92" w:rsidRPr="0059463B">
              <w:rPr>
                <w:rFonts w:ascii="Times New Roman" w:hAnsi="Times New Roman" w:cs="Times New Roman"/>
                <w:lang w:val="tr-TR"/>
              </w:rPr>
              <w:t xml:space="preserve">ı değerlendirmek ve </w:t>
            </w:r>
            <w:r w:rsidR="00A4537C" w:rsidRPr="0059463B">
              <w:rPr>
                <w:rFonts w:ascii="Times New Roman" w:hAnsi="Times New Roman" w:cs="Times New Roman"/>
                <w:lang w:val="tr-TR"/>
              </w:rPr>
              <w:t>cevap ha</w:t>
            </w:r>
            <w:r w:rsidR="001B1B92" w:rsidRPr="0059463B">
              <w:rPr>
                <w:rFonts w:ascii="Times New Roman" w:hAnsi="Times New Roman" w:cs="Times New Roman"/>
                <w:lang w:val="tr-TR"/>
              </w:rPr>
              <w:t>zırlamak</w:t>
            </w:r>
          </w:p>
        </w:tc>
        <w:tc>
          <w:tcPr>
            <w:tcW w:w="4855" w:type="dxa"/>
          </w:tcPr>
          <w:p w14:paraId="14C426E7" w14:textId="77777777" w:rsidR="006D4BD7" w:rsidRDefault="006D4BD7" w:rsidP="006D4BD7">
            <w:pPr>
              <w:jc w:val="both"/>
              <w:rPr>
                <w:rFonts w:ascii="Times New Roman" w:eastAsia="Times New Roman" w:hAnsi="Times New Roman" w:cs="Times New Roman"/>
                <w:lang w:val="tr-TR" w:eastAsia="tr-TR"/>
              </w:rPr>
            </w:pPr>
          </w:p>
          <w:p w14:paraId="7ABE07B6" w14:textId="77777777" w:rsidR="006D4BD7" w:rsidRDefault="006D4BD7" w:rsidP="006D4BD7">
            <w:pPr>
              <w:jc w:val="both"/>
              <w:rPr>
                <w:rFonts w:ascii="Times New Roman" w:eastAsia="Times New Roman" w:hAnsi="Times New Roman" w:cs="Times New Roman"/>
                <w:lang w:val="tr-TR" w:eastAsia="tr-TR"/>
              </w:rPr>
            </w:pPr>
          </w:p>
          <w:p w14:paraId="455F8249" w14:textId="44152876" w:rsidR="0026180A" w:rsidRPr="0059463B" w:rsidRDefault="0026180A" w:rsidP="006D4BD7">
            <w:pPr>
              <w:jc w:val="both"/>
              <w:rPr>
                <w:rFonts w:ascii="Times New Roman" w:eastAsia="Times New Roman" w:hAnsi="Times New Roman" w:cs="Times New Roman"/>
                <w:lang w:val="tr-TR" w:eastAsia="tr-TR"/>
              </w:rPr>
            </w:pPr>
            <w:r w:rsidRPr="0059463B">
              <w:rPr>
                <w:rFonts w:ascii="Times New Roman" w:eastAsia="Times New Roman" w:hAnsi="Times New Roman" w:cs="Times New Roman"/>
                <w:lang w:val="tr-TR" w:eastAsia="tr-TR"/>
              </w:rPr>
              <w:t>Kurumumuz içerisinden Bilgi Edinme Hakkı kapsamında gelen yazılara cevap yazısı hazırlayarak göndermek.</w:t>
            </w:r>
          </w:p>
          <w:p w14:paraId="482FD70C" w14:textId="77777777" w:rsidR="0026180A" w:rsidRPr="0059463B" w:rsidRDefault="0026180A" w:rsidP="006D4BD7">
            <w:pPr>
              <w:jc w:val="both"/>
              <w:rPr>
                <w:rFonts w:ascii="Times New Roman" w:hAnsi="Times New Roman" w:cs="Times New Roman"/>
                <w:lang w:val="tr-TR"/>
              </w:rPr>
            </w:pPr>
          </w:p>
          <w:p w14:paraId="6CF4FD19" w14:textId="0CFB3D9D" w:rsidR="00B011EF" w:rsidRPr="0059463B" w:rsidRDefault="00B011EF" w:rsidP="006D4BD7">
            <w:pPr>
              <w:jc w:val="both"/>
              <w:rPr>
                <w:rFonts w:ascii="Times New Roman" w:hAnsi="Times New Roman" w:cs="Times New Roman"/>
                <w:lang w:val="tr-TR"/>
              </w:rPr>
            </w:pPr>
          </w:p>
        </w:tc>
        <w:tc>
          <w:tcPr>
            <w:tcW w:w="4411" w:type="dxa"/>
          </w:tcPr>
          <w:p w14:paraId="566EA942" w14:textId="77777777" w:rsidR="006D4BD7" w:rsidRDefault="006D4BD7" w:rsidP="006D4BD7">
            <w:pPr>
              <w:pStyle w:val="ListeParagraf"/>
              <w:jc w:val="both"/>
              <w:rPr>
                <w:rFonts w:ascii="Times New Roman" w:hAnsi="Times New Roman" w:cs="Times New Roman"/>
                <w:lang w:val="tr-TR"/>
              </w:rPr>
            </w:pPr>
          </w:p>
          <w:p w14:paraId="0D9E9C86" w14:textId="673AD0F1" w:rsidR="0026180A" w:rsidRPr="0059463B" w:rsidRDefault="001B1B92" w:rsidP="006D4BD7">
            <w:pPr>
              <w:pStyle w:val="ListeParagraf"/>
              <w:numPr>
                <w:ilvl w:val="0"/>
                <w:numId w:val="8"/>
              </w:numPr>
              <w:jc w:val="both"/>
              <w:rPr>
                <w:rFonts w:ascii="Times New Roman" w:hAnsi="Times New Roman" w:cs="Times New Roman"/>
                <w:lang w:val="tr-TR"/>
              </w:rPr>
            </w:pPr>
            <w:r w:rsidRPr="0059463B">
              <w:rPr>
                <w:rFonts w:ascii="Times New Roman" w:hAnsi="Times New Roman" w:cs="Times New Roman"/>
                <w:lang w:val="tr-TR"/>
              </w:rPr>
              <w:t>Bilgi edinme taleplerine hatalı veya eksik cevap verilmesi durumunda; yasal sürelerin aşılması nedeniyle hukuki sorumluluk doğması ve kurumun idari yaptırımlarla karşılaşması.</w:t>
            </w:r>
          </w:p>
        </w:tc>
      </w:tr>
      <w:tr w:rsidR="00B011EF" w:rsidRPr="0059463B" w14:paraId="170D45B3" w14:textId="77777777" w:rsidTr="006D4BD7">
        <w:trPr>
          <w:trHeight w:val="5556"/>
        </w:trPr>
        <w:tc>
          <w:tcPr>
            <w:tcW w:w="4253" w:type="dxa"/>
            <w:vAlign w:val="center"/>
          </w:tcPr>
          <w:p w14:paraId="282C7A99" w14:textId="2E041663" w:rsidR="00B011EF" w:rsidRPr="0059463B" w:rsidRDefault="00B011EF" w:rsidP="006D4BD7">
            <w:pPr>
              <w:jc w:val="both"/>
              <w:rPr>
                <w:rFonts w:ascii="Times New Roman" w:hAnsi="Times New Roman" w:cs="Times New Roman"/>
                <w:lang w:val="tr-TR"/>
              </w:rPr>
            </w:pPr>
            <w:r w:rsidRPr="0059463B">
              <w:rPr>
                <w:rFonts w:ascii="Times New Roman" w:hAnsi="Times New Roman" w:cs="Times New Roman"/>
                <w:lang w:val="tr-TR"/>
              </w:rPr>
              <w:t>Taşınır Kayıt İşlemleri</w:t>
            </w:r>
          </w:p>
        </w:tc>
        <w:tc>
          <w:tcPr>
            <w:tcW w:w="4855" w:type="dxa"/>
          </w:tcPr>
          <w:p w14:paraId="4D680C62" w14:textId="07E0EE5B" w:rsidR="00B011EF" w:rsidRPr="0059463B" w:rsidRDefault="0059463B" w:rsidP="006D4BD7">
            <w:pPr>
              <w:jc w:val="both"/>
              <w:rPr>
                <w:rFonts w:ascii="Times New Roman" w:eastAsia="Times New Roman" w:hAnsi="Times New Roman" w:cs="Times New Roman"/>
                <w:lang w:val="tr-TR" w:eastAsia="tr-TR"/>
              </w:rPr>
            </w:pPr>
            <w:r w:rsidRPr="0059463B">
              <w:rPr>
                <w:rFonts w:ascii="Times New Roman" w:hAnsi="Times New Roman" w:cs="Times New Roman"/>
                <w:lang w:val="tr-TR"/>
              </w:rPr>
              <w:t xml:space="preserve">Ambar güvenliğini sağlamak, taşınırların en kısa sürede ambarlara girişini gerçekleştirmek, taşınırların giriş ve çıkışına ilişkin kayıtları tutarak bunlara dair belge ve cetvelleri düzenlemek ve taşınır yönetim hesap cetvellerini </w:t>
            </w:r>
            <w:proofErr w:type="gramStart"/>
            <w:r w:rsidRPr="0059463B">
              <w:rPr>
                <w:rFonts w:ascii="Times New Roman" w:hAnsi="Times New Roman" w:cs="Times New Roman"/>
                <w:lang w:val="tr-TR"/>
              </w:rPr>
              <w:t>konsolide</w:t>
            </w:r>
            <w:proofErr w:type="gramEnd"/>
            <w:r w:rsidRPr="0059463B">
              <w:rPr>
                <w:rFonts w:ascii="Times New Roman" w:hAnsi="Times New Roman" w:cs="Times New Roman"/>
                <w:lang w:val="tr-TR"/>
              </w:rPr>
              <w:t xml:space="preserve"> görevlisine göndermek; taşınır teslim alındığında giriş, tüketime verildiğinde, devredildiğinde, bağışlandığında, hurdaya ayrıldığında veya kaybolma ve çalınma gibi yok olma durumlarında çıkış için "Taşınır İşlem Fişi" düzenleyerek kayıtları tutmak, yapılan sayım sonucunda fazla bulunan taşınırları "TİF" düzenleyerek kayıtlara almak, kullanıma verilen tüketim malzemelerinden iade edilenleri belge karşılığında teslim alarak "TİF" aracılığıyla tekrar giriş kaydını yapmak, yetkililerin görevden ayrılmalarında, yıl sonlarında ve harcama yetkilisinin gerekli gördüğü hallerde sayım yaparak gerekli önlemleri almak.</w:t>
            </w:r>
          </w:p>
        </w:tc>
        <w:tc>
          <w:tcPr>
            <w:tcW w:w="4411" w:type="dxa"/>
          </w:tcPr>
          <w:p w14:paraId="690320F9" w14:textId="77777777" w:rsidR="006D4BD7" w:rsidRDefault="006D4BD7" w:rsidP="006D4BD7">
            <w:pPr>
              <w:jc w:val="both"/>
              <w:rPr>
                <w:rFonts w:ascii="Times New Roman" w:hAnsi="Times New Roman" w:cs="Times New Roman"/>
                <w:lang w:val="tr-TR"/>
              </w:rPr>
            </w:pPr>
          </w:p>
          <w:p w14:paraId="1547A1BE" w14:textId="77777777" w:rsidR="006D4BD7" w:rsidRDefault="006D4BD7" w:rsidP="006D4BD7">
            <w:pPr>
              <w:jc w:val="both"/>
              <w:rPr>
                <w:rFonts w:ascii="Times New Roman" w:hAnsi="Times New Roman" w:cs="Times New Roman"/>
                <w:lang w:val="tr-TR"/>
              </w:rPr>
            </w:pPr>
          </w:p>
          <w:p w14:paraId="071E4E3D" w14:textId="3814E951" w:rsidR="00B011EF" w:rsidRPr="0059463B" w:rsidRDefault="00B011EF" w:rsidP="006D4BD7">
            <w:pPr>
              <w:jc w:val="both"/>
              <w:rPr>
                <w:rFonts w:ascii="Times New Roman" w:hAnsi="Times New Roman" w:cs="Times New Roman"/>
                <w:lang w:val="tr-TR"/>
              </w:rPr>
            </w:pPr>
            <w:r w:rsidRPr="0059463B">
              <w:rPr>
                <w:rFonts w:ascii="Times New Roman" w:hAnsi="Times New Roman" w:cs="Times New Roman"/>
                <w:lang w:val="tr-TR"/>
              </w:rPr>
              <w:t>1)Taşınırların kontrolünün sağlanamaması, taşınırların korunamaması ve zararların tespit edilememesi.</w:t>
            </w:r>
          </w:p>
          <w:p w14:paraId="5AACDD60" w14:textId="77777777" w:rsidR="00B011EF" w:rsidRPr="0059463B" w:rsidRDefault="00B011EF" w:rsidP="006D4BD7">
            <w:pPr>
              <w:jc w:val="both"/>
              <w:rPr>
                <w:rFonts w:ascii="Times New Roman" w:hAnsi="Times New Roman" w:cs="Times New Roman"/>
                <w:lang w:val="tr-TR"/>
              </w:rPr>
            </w:pPr>
          </w:p>
          <w:p w14:paraId="32A6B15A" w14:textId="5F565265" w:rsidR="00B011EF" w:rsidRPr="0059463B" w:rsidRDefault="00B011EF" w:rsidP="006D4BD7">
            <w:pPr>
              <w:jc w:val="both"/>
              <w:rPr>
                <w:rFonts w:ascii="Times New Roman" w:hAnsi="Times New Roman" w:cs="Times New Roman"/>
                <w:lang w:val="tr-TR"/>
              </w:rPr>
            </w:pPr>
            <w:r w:rsidRPr="0059463B">
              <w:rPr>
                <w:rFonts w:ascii="Times New Roman" w:hAnsi="Times New Roman" w:cs="Times New Roman"/>
                <w:lang w:val="tr-TR"/>
              </w:rPr>
              <w:t>2)Gerekli evrakların zamanında düzenlenememesi.</w:t>
            </w:r>
          </w:p>
          <w:p w14:paraId="3FF37CBA" w14:textId="77777777" w:rsidR="00B011EF" w:rsidRPr="0059463B" w:rsidRDefault="00B011EF" w:rsidP="006D4BD7">
            <w:pPr>
              <w:jc w:val="both"/>
              <w:rPr>
                <w:rFonts w:ascii="Times New Roman" w:hAnsi="Times New Roman" w:cs="Times New Roman"/>
                <w:lang w:val="tr-TR"/>
              </w:rPr>
            </w:pPr>
          </w:p>
          <w:p w14:paraId="0232B204" w14:textId="0DA3DA64" w:rsidR="00B011EF" w:rsidRPr="0059463B" w:rsidRDefault="00B011EF" w:rsidP="006D4BD7">
            <w:pPr>
              <w:jc w:val="both"/>
              <w:rPr>
                <w:rFonts w:ascii="Times New Roman" w:hAnsi="Times New Roman" w:cs="Times New Roman"/>
                <w:lang w:val="tr-TR"/>
              </w:rPr>
            </w:pPr>
            <w:r w:rsidRPr="0059463B">
              <w:rPr>
                <w:rFonts w:ascii="Times New Roman" w:hAnsi="Times New Roman" w:cs="Times New Roman"/>
                <w:lang w:val="tr-TR"/>
              </w:rPr>
              <w:t>3)Taşınır Mal Hesabının tutmaması.</w:t>
            </w:r>
          </w:p>
          <w:p w14:paraId="5F900299" w14:textId="77777777" w:rsidR="00B011EF" w:rsidRPr="0059463B" w:rsidRDefault="00B011EF" w:rsidP="006D4BD7">
            <w:pPr>
              <w:jc w:val="both"/>
              <w:rPr>
                <w:rFonts w:ascii="Times New Roman" w:hAnsi="Times New Roman" w:cs="Times New Roman"/>
                <w:lang w:val="tr-TR"/>
              </w:rPr>
            </w:pPr>
          </w:p>
          <w:p w14:paraId="2BAFEC69" w14:textId="3AAC679D" w:rsidR="00B011EF" w:rsidRPr="0059463B" w:rsidRDefault="00B011EF" w:rsidP="006D4BD7">
            <w:pPr>
              <w:jc w:val="both"/>
              <w:rPr>
                <w:rFonts w:ascii="Times New Roman" w:hAnsi="Times New Roman" w:cs="Times New Roman"/>
                <w:lang w:val="tr-TR"/>
              </w:rPr>
            </w:pPr>
            <w:r w:rsidRPr="0059463B">
              <w:rPr>
                <w:rFonts w:ascii="Times New Roman" w:hAnsi="Times New Roman" w:cs="Times New Roman"/>
                <w:lang w:val="tr-TR"/>
              </w:rPr>
              <w:t>4)Taşınır Yönetim Hesabının verilememesi.</w:t>
            </w:r>
          </w:p>
        </w:tc>
      </w:tr>
      <w:tr w:rsidR="00B011EF" w:rsidRPr="0059463B" w14:paraId="7E58EE92" w14:textId="77777777" w:rsidTr="006D4BD7">
        <w:trPr>
          <w:trHeight w:val="1128"/>
        </w:trPr>
        <w:tc>
          <w:tcPr>
            <w:tcW w:w="4253" w:type="dxa"/>
            <w:vAlign w:val="center"/>
          </w:tcPr>
          <w:p w14:paraId="306DC65C" w14:textId="3AA827EF" w:rsidR="00B011EF" w:rsidRPr="0059463B" w:rsidRDefault="00B011EF" w:rsidP="006D4BD7">
            <w:pPr>
              <w:tabs>
                <w:tab w:val="left" w:pos="2562"/>
              </w:tabs>
              <w:jc w:val="both"/>
              <w:rPr>
                <w:rFonts w:ascii="Times New Roman" w:hAnsi="Times New Roman" w:cs="Times New Roman"/>
                <w:lang w:val="tr-TR"/>
              </w:rPr>
            </w:pPr>
            <w:r w:rsidRPr="0059463B">
              <w:rPr>
                <w:rFonts w:ascii="Times New Roman" w:hAnsi="Times New Roman" w:cs="Times New Roman"/>
                <w:lang w:val="tr-TR"/>
              </w:rPr>
              <w:t>Satın alma işlemleri</w:t>
            </w:r>
          </w:p>
        </w:tc>
        <w:tc>
          <w:tcPr>
            <w:tcW w:w="4855" w:type="dxa"/>
          </w:tcPr>
          <w:p w14:paraId="7E5F9082" w14:textId="24BB007C" w:rsidR="00B011EF" w:rsidRPr="0059463B" w:rsidRDefault="0059463B" w:rsidP="006D4BD7">
            <w:pPr>
              <w:jc w:val="both"/>
              <w:rPr>
                <w:rFonts w:ascii="Times New Roman" w:hAnsi="Times New Roman" w:cs="Times New Roman"/>
                <w:lang w:val="tr-TR"/>
              </w:rPr>
            </w:pPr>
            <w:r w:rsidRPr="0059463B">
              <w:rPr>
                <w:rFonts w:ascii="Times New Roman" w:hAnsi="Times New Roman" w:cs="Times New Roman"/>
                <w:lang w:val="tr-TR"/>
              </w:rPr>
              <w:t>Birim ihtiyaçlarını belirleyerek piyasa araştırmasının doğru ve zamanında yapılmasını sağlamak ve ihtiyaçların gecikmeksizin ekonomik ve verimli bir şekilde karşılanmasını gerçekleştirmek.</w:t>
            </w:r>
          </w:p>
        </w:tc>
        <w:tc>
          <w:tcPr>
            <w:tcW w:w="4411" w:type="dxa"/>
            <w:vAlign w:val="center"/>
          </w:tcPr>
          <w:p w14:paraId="06652389" w14:textId="6C62792E" w:rsidR="00B011EF" w:rsidRPr="0059463B" w:rsidRDefault="0059463B" w:rsidP="006D4BD7">
            <w:pPr>
              <w:pStyle w:val="ListeParagraf"/>
              <w:numPr>
                <w:ilvl w:val="0"/>
                <w:numId w:val="9"/>
              </w:numPr>
              <w:jc w:val="both"/>
              <w:rPr>
                <w:rFonts w:ascii="Times New Roman" w:hAnsi="Times New Roman" w:cs="Times New Roman"/>
                <w:lang w:val="tr-TR"/>
              </w:rPr>
            </w:pPr>
            <w:r w:rsidRPr="0059463B">
              <w:rPr>
                <w:rFonts w:ascii="Times New Roman" w:hAnsi="Times New Roman" w:cs="Times New Roman"/>
                <w:lang w:val="tr-TR"/>
              </w:rPr>
              <w:t>Piyasa araştırmasının yetersiz kalması durumunda; kamu kaynaklarının israf edilmesi, tedarik süreçlerinde gecikme yaşanması ve hizmet kalitesinin düşmesi.</w:t>
            </w:r>
          </w:p>
          <w:p w14:paraId="3337CA4E" w14:textId="17F96C7B" w:rsidR="00B011EF" w:rsidRPr="0059463B" w:rsidRDefault="00B011EF" w:rsidP="006D4BD7">
            <w:pPr>
              <w:jc w:val="both"/>
              <w:rPr>
                <w:rFonts w:ascii="Times New Roman" w:hAnsi="Times New Roman" w:cs="Times New Roman"/>
                <w:lang w:val="tr-TR"/>
              </w:rPr>
            </w:pPr>
          </w:p>
        </w:tc>
      </w:tr>
    </w:tbl>
    <w:p w14:paraId="0C05C219" w14:textId="77777777" w:rsidR="00D50E1F" w:rsidRPr="0059463B" w:rsidRDefault="00D50E1F" w:rsidP="006D4BD7">
      <w:pPr>
        <w:jc w:val="both"/>
        <w:rPr>
          <w:rFonts w:ascii="Times New Roman" w:hAnsi="Times New Roman" w:cs="Times New Roman"/>
          <w:lang w:val="tr-TR"/>
        </w:rPr>
      </w:pPr>
      <w:bookmarkStart w:id="0" w:name="_GoBack"/>
      <w:bookmarkEnd w:id="0"/>
    </w:p>
    <w:sectPr w:rsidR="00D50E1F" w:rsidRPr="0059463B" w:rsidSect="00C864DF">
      <w:pgSz w:w="15840" w:h="12240" w:orient="landscape"/>
      <w:pgMar w:top="1440" w:right="1440" w:bottom="24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508"/>
    <w:multiLevelType w:val="multilevel"/>
    <w:tmpl w:val="003E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98707A"/>
    <w:multiLevelType w:val="hybridMultilevel"/>
    <w:tmpl w:val="724C3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A3792"/>
    <w:multiLevelType w:val="hybridMultilevel"/>
    <w:tmpl w:val="C6A65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4045"/>
    <w:multiLevelType w:val="hybridMultilevel"/>
    <w:tmpl w:val="B7969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B4112"/>
    <w:multiLevelType w:val="hybridMultilevel"/>
    <w:tmpl w:val="A66C2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816AA"/>
    <w:multiLevelType w:val="hybridMultilevel"/>
    <w:tmpl w:val="C79EA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84E6D"/>
    <w:multiLevelType w:val="hybridMultilevel"/>
    <w:tmpl w:val="38F22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76485"/>
    <w:multiLevelType w:val="hybridMultilevel"/>
    <w:tmpl w:val="BABA0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7662D"/>
    <w:multiLevelType w:val="hybridMultilevel"/>
    <w:tmpl w:val="DFD2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6B"/>
    <w:rsid w:val="00000CAF"/>
    <w:rsid w:val="000C137F"/>
    <w:rsid w:val="001B1B92"/>
    <w:rsid w:val="0026180A"/>
    <w:rsid w:val="002664B3"/>
    <w:rsid w:val="00295B6B"/>
    <w:rsid w:val="00336FA1"/>
    <w:rsid w:val="00364B61"/>
    <w:rsid w:val="003A09FD"/>
    <w:rsid w:val="003F7666"/>
    <w:rsid w:val="004D5E96"/>
    <w:rsid w:val="0059197B"/>
    <w:rsid w:val="0059463B"/>
    <w:rsid w:val="005C5DDB"/>
    <w:rsid w:val="006D4BD7"/>
    <w:rsid w:val="00742581"/>
    <w:rsid w:val="00A4537C"/>
    <w:rsid w:val="00B011EF"/>
    <w:rsid w:val="00B138B2"/>
    <w:rsid w:val="00B81BA1"/>
    <w:rsid w:val="00BE4E31"/>
    <w:rsid w:val="00C864DF"/>
    <w:rsid w:val="00D50E1F"/>
    <w:rsid w:val="00D551BC"/>
    <w:rsid w:val="00DC54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4F2C"/>
  <w15:chartTrackingRefBased/>
  <w15:docId w15:val="{452658AA-88B3-FE4A-9499-06358858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295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95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95B6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95B6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95B6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95B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5B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5B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5B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5B6B"/>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295B6B"/>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295B6B"/>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295B6B"/>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295B6B"/>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295B6B"/>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295B6B"/>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295B6B"/>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295B6B"/>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29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5B6B"/>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295B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5B6B"/>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295B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5B6B"/>
    <w:rPr>
      <w:i/>
      <w:iCs/>
      <w:color w:val="404040" w:themeColor="text1" w:themeTint="BF"/>
      <w:lang w:val="en-US"/>
    </w:rPr>
  </w:style>
  <w:style w:type="paragraph" w:styleId="ListeParagraf">
    <w:name w:val="List Paragraph"/>
    <w:basedOn w:val="Normal"/>
    <w:uiPriority w:val="34"/>
    <w:qFormat/>
    <w:rsid w:val="00295B6B"/>
    <w:pPr>
      <w:ind w:left="720"/>
      <w:contextualSpacing/>
    </w:pPr>
  </w:style>
  <w:style w:type="character" w:styleId="GlVurgulama">
    <w:name w:val="Intense Emphasis"/>
    <w:basedOn w:val="VarsaylanParagrafYazTipi"/>
    <w:uiPriority w:val="21"/>
    <w:qFormat/>
    <w:rsid w:val="00295B6B"/>
    <w:rPr>
      <w:i/>
      <w:iCs/>
      <w:color w:val="0F4761" w:themeColor="accent1" w:themeShade="BF"/>
    </w:rPr>
  </w:style>
  <w:style w:type="paragraph" w:styleId="GlAlnt">
    <w:name w:val="Intense Quote"/>
    <w:basedOn w:val="Normal"/>
    <w:next w:val="Normal"/>
    <w:link w:val="GlAlntChar"/>
    <w:uiPriority w:val="30"/>
    <w:qFormat/>
    <w:rsid w:val="00295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95B6B"/>
    <w:rPr>
      <w:i/>
      <w:iCs/>
      <w:color w:val="0F4761" w:themeColor="accent1" w:themeShade="BF"/>
      <w:lang w:val="en-US"/>
    </w:rPr>
  </w:style>
  <w:style w:type="character" w:styleId="GlBavuru">
    <w:name w:val="Intense Reference"/>
    <w:basedOn w:val="VarsaylanParagrafYazTipi"/>
    <w:uiPriority w:val="32"/>
    <w:qFormat/>
    <w:rsid w:val="00295B6B"/>
    <w:rPr>
      <w:b/>
      <w:bCs/>
      <w:smallCaps/>
      <w:color w:val="0F4761" w:themeColor="accent1" w:themeShade="BF"/>
      <w:spacing w:val="5"/>
    </w:rPr>
  </w:style>
  <w:style w:type="table" w:styleId="TabloKlavuzu">
    <w:name w:val="Table Grid"/>
    <w:basedOn w:val="NormalTablo"/>
    <w:uiPriority w:val="39"/>
    <w:rsid w:val="00295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864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64D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C9F0-7C2F-4B32-A659-74743B0E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737</Words>
  <Characters>4204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Çalışkan</dc:creator>
  <cp:keywords/>
  <dc:description/>
  <cp:lastModifiedBy>ayse</cp:lastModifiedBy>
  <cp:revision>6</cp:revision>
  <cp:lastPrinted>2026-05-13T06:19:00Z</cp:lastPrinted>
  <dcterms:created xsi:type="dcterms:W3CDTF">2026-05-12T10:56:00Z</dcterms:created>
  <dcterms:modified xsi:type="dcterms:W3CDTF">2026-05-13T06:19:00Z</dcterms:modified>
</cp:coreProperties>
</file>